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46E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FC6CD71" w14:textId="77777777" w:rsidTr="005F7F7E">
        <w:tc>
          <w:tcPr>
            <w:tcW w:w="2438" w:type="dxa"/>
            <w:shd w:val="clear" w:color="auto" w:fill="auto"/>
          </w:tcPr>
          <w:p w14:paraId="1BA3053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80C6D37" w14:textId="5F520F60" w:rsidR="00F445B1" w:rsidRPr="00F95BC9" w:rsidRDefault="003B6872" w:rsidP="004A6D2F">
            <w:pPr>
              <w:rPr>
                <w:rStyle w:val="Firstpagetablebold"/>
              </w:rPr>
            </w:pPr>
            <w:r>
              <w:rPr>
                <w:rStyle w:val="Firstpagetablebold"/>
              </w:rPr>
              <w:t>Housing and Homelessness Panel</w:t>
            </w:r>
          </w:p>
        </w:tc>
      </w:tr>
      <w:tr w:rsidR="00CE544A" w:rsidRPr="00975B07" w14:paraId="40286D29" w14:textId="77777777" w:rsidTr="005F7F7E">
        <w:tc>
          <w:tcPr>
            <w:tcW w:w="2438" w:type="dxa"/>
            <w:shd w:val="clear" w:color="auto" w:fill="auto"/>
          </w:tcPr>
          <w:p w14:paraId="38C4488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D206DFD" w14:textId="14ED92E3" w:rsidR="00F445B1" w:rsidRPr="001356F1" w:rsidRDefault="003B6872" w:rsidP="005D0621">
            <w:pPr>
              <w:rPr>
                <w:b/>
              </w:rPr>
            </w:pPr>
            <w:r>
              <w:rPr>
                <w:rStyle w:val="Firstpagetablebold"/>
              </w:rPr>
              <w:t>05 December 2023</w:t>
            </w:r>
          </w:p>
        </w:tc>
      </w:tr>
      <w:tr w:rsidR="00CE544A" w:rsidRPr="00975B07" w14:paraId="63F5A7C1" w14:textId="77777777" w:rsidTr="005F7F7E">
        <w:tc>
          <w:tcPr>
            <w:tcW w:w="2438" w:type="dxa"/>
            <w:shd w:val="clear" w:color="auto" w:fill="auto"/>
          </w:tcPr>
          <w:p w14:paraId="69F0871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B7BB5AE" w14:textId="564386B1" w:rsidR="00F445B1" w:rsidRPr="001356F1" w:rsidRDefault="003B6872" w:rsidP="004A6D2F">
            <w:pPr>
              <w:rPr>
                <w:rStyle w:val="Firstpagetablebold"/>
              </w:rPr>
            </w:pPr>
            <w:r>
              <w:rPr>
                <w:rStyle w:val="Firstpagetablebold"/>
              </w:rPr>
              <w:t>Head of Housing Services</w:t>
            </w:r>
          </w:p>
        </w:tc>
      </w:tr>
      <w:tr w:rsidR="00CE544A" w:rsidRPr="00975B07" w14:paraId="35A078D3" w14:textId="77777777" w:rsidTr="005F7F7E">
        <w:tc>
          <w:tcPr>
            <w:tcW w:w="2438" w:type="dxa"/>
            <w:shd w:val="clear" w:color="auto" w:fill="auto"/>
          </w:tcPr>
          <w:p w14:paraId="6231854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0D20F44" w14:textId="4341F51F" w:rsidR="00F445B1" w:rsidRPr="001356F1" w:rsidRDefault="003B6872" w:rsidP="004A6D2F">
            <w:pPr>
              <w:rPr>
                <w:rStyle w:val="Firstpagetablebold"/>
              </w:rPr>
            </w:pPr>
            <w:r>
              <w:rPr>
                <w:rStyle w:val="Firstpagetablebold"/>
              </w:rPr>
              <w:t>Building Safety &amp; Compliance within Housing Revenue Account (HRA) Stock</w:t>
            </w:r>
          </w:p>
        </w:tc>
      </w:tr>
    </w:tbl>
    <w:p w14:paraId="6847F75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22D8A8A" w14:textId="77777777" w:rsidTr="0080749A">
        <w:tc>
          <w:tcPr>
            <w:tcW w:w="8845" w:type="dxa"/>
            <w:gridSpan w:val="3"/>
            <w:tcBorders>
              <w:bottom w:val="single" w:sz="8" w:space="0" w:color="000000"/>
            </w:tcBorders>
            <w:hideMark/>
          </w:tcPr>
          <w:p w14:paraId="2BE7AEE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19BF118" w14:textId="77777777" w:rsidTr="0080749A">
        <w:tc>
          <w:tcPr>
            <w:tcW w:w="2438" w:type="dxa"/>
            <w:gridSpan w:val="2"/>
            <w:tcBorders>
              <w:top w:val="single" w:sz="8" w:space="0" w:color="000000"/>
              <w:left w:val="single" w:sz="8" w:space="0" w:color="000000"/>
              <w:bottom w:val="nil"/>
              <w:right w:val="nil"/>
            </w:tcBorders>
            <w:hideMark/>
          </w:tcPr>
          <w:p w14:paraId="5828B9E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D71CB95" w14:textId="4F2BA549" w:rsidR="00D5547E" w:rsidRPr="003B6872" w:rsidRDefault="003B6872" w:rsidP="003B6872">
            <w:pPr>
              <w:spacing w:line="259" w:lineRule="auto"/>
              <w:rPr>
                <w:rFonts w:eastAsia="Arial" w:cs="Arial"/>
                <w:b/>
                <w:bCs/>
              </w:rPr>
            </w:pPr>
            <w:r w:rsidRPr="003B6872">
              <w:rPr>
                <w:rStyle w:val="Firstpagetablebold"/>
                <w:rFonts w:eastAsia="Arial" w:cs="Arial"/>
                <w:b w:val="0"/>
                <w:bCs/>
              </w:rPr>
              <w:t>To inform members of the current Building Safety and Compliance Performance relating to the Council’s housing stock</w:t>
            </w:r>
            <w:r>
              <w:rPr>
                <w:rStyle w:val="Firstpagetablebold"/>
                <w:rFonts w:eastAsia="Arial" w:cs="Arial"/>
                <w:b w:val="0"/>
                <w:bCs/>
              </w:rPr>
              <w:t>.</w:t>
            </w:r>
          </w:p>
        </w:tc>
      </w:tr>
      <w:tr w:rsidR="00D5547E" w14:paraId="5527E30F" w14:textId="77777777" w:rsidTr="0080749A">
        <w:tc>
          <w:tcPr>
            <w:tcW w:w="2438" w:type="dxa"/>
            <w:gridSpan w:val="2"/>
            <w:tcBorders>
              <w:top w:val="nil"/>
              <w:left w:val="single" w:sz="8" w:space="0" w:color="000000"/>
              <w:bottom w:val="nil"/>
              <w:right w:val="nil"/>
            </w:tcBorders>
            <w:hideMark/>
          </w:tcPr>
          <w:p w14:paraId="567CD0A7"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5D7395" w14:textId="24D563D1" w:rsidR="00D5547E" w:rsidRPr="001356F1" w:rsidRDefault="00D5547E" w:rsidP="005F7F7E">
            <w:r w:rsidRPr="003B6872">
              <w:rPr>
                <w:color w:val="auto"/>
              </w:rPr>
              <w:t>No</w:t>
            </w:r>
          </w:p>
        </w:tc>
      </w:tr>
      <w:tr w:rsidR="00D5547E" w14:paraId="2B7FE422" w14:textId="77777777" w:rsidTr="0080749A">
        <w:tc>
          <w:tcPr>
            <w:tcW w:w="2438" w:type="dxa"/>
            <w:gridSpan w:val="2"/>
            <w:tcBorders>
              <w:top w:val="nil"/>
              <w:left w:val="single" w:sz="8" w:space="0" w:color="000000"/>
              <w:bottom w:val="nil"/>
              <w:right w:val="nil"/>
            </w:tcBorders>
            <w:hideMark/>
          </w:tcPr>
          <w:p w14:paraId="763E9EAC"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B5A1FB9" w14:textId="253CACE7" w:rsidR="00D5547E" w:rsidRPr="001356F1" w:rsidRDefault="00D5547E" w:rsidP="005F7F7E">
            <w:r w:rsidRPr="001356F1">
              <w:t xml:space="preserve">Councillor </w:t>
            </w:r>
            <w:r w:rsidR="003B6872">
              <w:t>Linda Smith, Cabinet Member for Housing</w:t>
            </w:r>
          </w:p>
        </w:tc>
      </w:tr>
      <w:tr w:rsidR="0080749A" w14:paraId="76D4AFF4" w14:textId="77777777" w:rsidTr="0080749A">
        <w:tc>
          <w:tcPr>
            <w:tcW w:w="2438" w:type="dxa"/>
            <w:gridSpan w:val="2"/>
            <w:tcBorders>
              <w:top w:val="nil"/>
              <w:left w:val="single" w:sz="8" w:space="0" w:color="000000"/>
              <w:bottom w:val="nil"/>
              <w:right w:val="nil"/>
            </w:tcBorders>
          </w:tcPr>
          <w:p w14:paraId="645FC3B7"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8E43BBD" w14:textId="76765C83" w:rsidR="0080749A" w:rsidRPr="001356F1" w:rsidRDefault="003B6872" w:rsidP="005F7F7E">
            <w:r>
              <w:t>Support Thriving Communities</w:t>
            </w:r>
          </w:p>
        </w:tc>
      </w:tr>
      <w:tr w:rsidR="00D5547E" w14:paraId="70B4AC53" w14:textId="77777777" w:rsidTr="0080749A">
        <w:tc>
          <w:tcPr>
            <w:tcW w:w="2438" w:type="dxa"/>
            <w:gridSpan w:val="2"/>
            <w:tcBorders>
              <w:top w:val="nil"/>
              <w:left w:val="single" w:sz="8" w:space="0" w:color="000000"/>
              <w:bottom w:val="nil"/>
              <w:right w:val="nil"/>
            </w:tcBorders>
            <w:hideMark/>
          </w:tcPr>
          <w:p w14:paraId="586F0BDD"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727109A" w14:textId="4F4D530B" w:rsidR="00D5547E" w:rsidRPr="001356F1" w:rsidRDefault="003B6872" w:rsidP="005F7F7E">
            <w:r>
              <w:t>Housing, Homelessness and Rough Sleeping Strategy 2023-2028</w:t>
            </w:r>
          </w:p>
        </w:tc>
      </w:tr>
      <w:tr w:rsidR="005F7F7E" w:rsidRPr="00975B07" w14:paraId="6BBB943D" w14:textId="77777777" w:rsidTr="003B6872">
        <w:trPr>
          <w:trHeight w:val="413"/>
        </w:trPr>
        <w:tc>
          <w:tcPr>
            <w:tcW w:w="8845" w:type="dxa"/>
            <w:gridSpan w:val="3"/>
            <w:tcBorders>
              <w:bottom w:val="single" w:sz="8" w:space="0" w:color="000000"/>
            </w:tcBorders>
          </w:tcPr>
          <w:p w14:paraId="5E43D7D3" w14:textId="73C4D165" w:rsidR="005F7F7E" w:rsidRPr="00975B07" w:rsidRDefault="005F7F7E" w:rsidP="00821AAF">
            <w:r>
              <w:rPr>
                <w:rStyle w:val="Firstpagetablebold"/>
              </w:rPr>
              <w:t>Recommendation(s):</w:t>
            </w:r>
            <w:r w:rsidR="003B6872">
              <w:rPr>
                <w:rStyle w:val="Firstpagetablebold"/>
              </w:rPr>
              <w:t xml:space="preserve"> </w:t>
            </w:r>
            <w:r>
              <w:rPr>
                <w:rStyle w:val="Firstpagetablebold"/>
              </w:rPr>
              <w:t xml:space="preserve">That the </w:t>
            </w:r>
            <w:r w:rsidR="003B6872">
              <w:rPr>
                <w:rStyle w:val="Firstpagetablebold"/>
              </w:rPr>
              <w:t>Panel</w:t>
            </w:r>
            <w:r>
              <w:rPr>
                <w:rStyle w:val="Firstpagetablebold"/>
              </w:rPr>
              <w:t xml:space="preserve"> resolves to:</w:t>
            </w:r>
          </w:p>
        </w:tc>
      </w:tr>
      <w:tr w:rsidR="0030208D" w:rsidRPr="00975B07" w14:paraId="15E6AF17" w14:textId="77777777" w:rsidTr="003B6872">
        <w:trPr>
          <w:trHeight w:val="283"/>
        </w:trPr>
        <w:tc>
          <w:tcPr>
            <w:tcW w:w="426" w:type="dxa"/>
            <w:tcBorders>
              <w:top w:val="single" w:sz="8" w:space="0" w:color="000000"/>
              <w:left w:val="single" w:sz="8" w:space="0" w:color="000000"/>
              <w:bottom w:val="single" w:sz="4" w:space="0" w:color="auto"/>
              <w:right w:val="nil"/>
            </w:tcBorders>
          </w:tcPr>
          <w:p w14:paraId="1632D928"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37C183B6" w14:textId="68327BD0" w:rsidR="0030208D" w:rsidRPr="001356F1" w:rsidRDefault="003B6872" w:rsidP="002069B3">
            <w:r>
              <w:rPr>
                <w:rStyle w:val="Firstpagetablebold"/>
              </w:rPr>
              <w:t xml:space="preserve">Note and comment </w:t>
            </w:r>
            <w:r>
              <w:rPr>
                <w:rStyle w:val="Firstpagetablebold"/>
                <w:b w:val="0"/>
                <w:bCs/>
              </w:rPr>
              <w:t>on the report</w:t>
            </w:r>
            <w:r w:rsidR="0030208D" w:rsidRPr="001356F1">
              <w:t xml:space="preserve"> </w:t>
            </w:r>
            <w:r>
              <w:t>and agree any recommendations.</w:t>
            </w:r>
            <w:r w:rsidR="0030208D" w:rsidRPr="001356F1">
              <w:t xml:space="preserve"> </w:t>
            </w:r>
          </w:p>
        </w:tc>
      </w:tr>
    </w:tbl>
    <w:p w14:paraId="37E2A817" w14:textId="77777777" w:rsidR="00CE544A" w:rsidRPr="009E51FC" w:rsidRDefault="00CE544A" w:rsidP="004A6D2F"/>
    <w:p w14:paraId="4E64DCD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2D84D15" w14:textId="123A869F" w:rsidR="003B6872" w:rsidRPr="003B6872" w:rsidRDefault="003B6872" w:rsidP="00244485">
      <w:pPr>
        <w:pStyle w:val="ListParagraph"/>
        <w:jc w:val="both"/>
      </w:pPr>
      <w:r>
        <w:t xml:space="preserve">Oxford City Council </w:t>
      </w:r>
      <w:r w:rsidRPr="003B6872">
        <w:rPr>
          <w:rFonts w:cs="Arial"/>
        </w:rPr>
        <w:t>has a housing stock of approximately 8,700 residential units. This is made up of the following housing types:</w:t>
      </w:r>
    </w:p>
    <w:tbl>
      <w:tblPr>
        <w:tblStyle w:val="TableGrid"/>
        <w:tblW w:w="0" w:type="auto"/>
        <w:tblInd w:w="534" w:type="dxa"/>
        <w:tblLayout w:type="fixed"/>
        <w:tblLook w:val="06A0" w:firstRow="1" w:lastRow="0" w:firstColumn="1" w:lastColumn="0" w:noHBand="1" w:noVBand="1"/>
      </w:tblPr>
      <w:tblGrid>
        <w:gridCol w:w="2835"/>
        <w:gridCol w:w="2835"/>
      </w:tblGrid>
      <w:tr w:rsidR="003B6872" w14:paraId="6386DB5A" w14:textId="77777777" w:rsidTr="003B6872">
        <w:trPr>
          <w:trHeight w:val="300"/>
        </w:trPr>
        <w:tc>
          <w:tcPr>
            <w:tcW w:w="2835" w:type="dxa"/>
            <w:shd w:val="clear" w:color="auto" w:fill="D9D9D9" w:themeFill="background1" w:themeFillShade="D9"/>
          </w:tcPr>
          <w:p w14:paraId="68E5A4BE" w14:textId="77777777" w:rsidR="003B6872" w:rsidRPr="003B6872" w:rsidRDefault="003B6872" w:rsidP="003B6872">
            <w:pPr>
              <w:jc w:val="center"/>
              <w:rPr>
                <w:rFonts w:cs="Arial"/>
                <w:b/>
                <w:bCs/>
              </w:rPr>
            </w:pPr>
            <w:r w:rsidRPr="003B6872">
              <w:rPr>
                <w:rFonts w:cs="Arial"/>
                <w:b/>
                <w:bCs/>
              </w:rPr>
              <w:t>Property Type</w:t>
            </w:r>
          </w:p>
        </w:tc>
        <w:tc>
          <w:tcPr>
            <w:tcW w:w="2835" w:type="dxa"/>
            <w:shd w:val="clear" w:color="auto" w:fill="D9D9D9" w:themeFill="background1" w:themeFillShade="D9"/>
          </w:tcPr>
          <w:p w14:paraId="4CEE0D73" w14:textId="77777777" w:rsidR="003B6872" w:rsidRPr="003B6872" w:rsidRDefault="003B6872" w:rsidP="003B6872">
            <w:pPr>
              <w:jc w:val="center"/>
              <w:rPr>
                <w:rFonts w:cs="Arial"/>
                <w:b/>
                <w:bCs/>
              </w:rPr>
            </w:pPr>
            <w:r w:rsidRPr="003B6872">
              <w:rPr>
                <w:rFonts w:cs="Arial"/>
                <w:b/>
                <w:bCs/>
              </w:rPr>
              <w:t>Number</w:t>
            </w:r>
          </w:p>
        </w:tc>
      </w:tr>
      <w:tr w:rsidR="003B6872" w14:paraId="7E21F727" w14:textId="77777777" w:rsidTr="003B6872">
        <w:trPr>
          <w:trHeight w:val="300"/>
        </w:trPr>
        <w:tc>
          <w:tcPr>
            <w:tcW w:w="2835" w:type="dxa"/>
          </w:tcPr>
          <w:p w14:paraId="4799FF16" w14:textId="77777777" w:rsidR="003B6872" w:rsidRPr="003B6872" w:rsidRDefault="003B6872" w:rsidP="003B6872">
            <w:pPr>
              <w:jc w:val="center"/>
              <w:rPr>
                <w:rFonts w:cs="Arial"/>
              </w:rPr>
            </w:pPr>
            <w:r w:rsidRPr="003B6872">
              <w:rPr>
                <w:rFonts w:cs="Arial"/>
              </w:rPr>
              <w:t>Flats</w:t>
            </w:r>
          </w:p>
        </w:tc>
        <w:tc>
          <w:tcPr>
            <w:tcW w:w="2835" w:type="dxa"/>
          </w:tcPr>
          <w:p w14:paraId="79DBBE57" w14:textId="77777777" w:rsidR="003B6872" w:rsidRPr="003B6872" w:rsidRDefault="003B6872" w:rsidP="003B6872">
            <w:pPr>
              <w:jc w:val="center"/>
              <w:rPr>
                <w:rFonts w:cs="Arial"/>
              </w:rPr>
            </w:pPr>
            <w:r w:rsidRPr="003B6872">
              <w:rPr>
                <w:rFonts w:cs="Arial"/>
              </w:rPr>
              <w:t>3642</w:t>
            </w:r>
          </w:p>
        </w:tc>
      </w:tr>
      <w:tr w:rsidR="003B6872" w14:paraId="444AE3A9" w14:textId="77777777" w:rsidTr="003B6872">
        <w:trPr>
          <w:trHeight w:val="300"/>
        </w:trPr>
        <w:tc>
          <w:tcPr>
            <w:tcW w:w="2835" w:type="dxa"/>
          </w:tcPr>
          <w:p w14:paraId="78139491" w14:textId="77777777" w:rsidR="003B6872" w:rsidRPr="003B6872" w:rsidRDefault="003B6872" w:rsidP="003B6872">
            <w:pPr>
              <w:jc w:val="center"/>
              <w:rPr>
                <w:rFonts w:cs="Arial"/>
              </w:rPr>
            </w:pPr>
            <w:r w:rsidRPr="003B6872">
              <w:rPr>
                <w:rFonts w:cs="Arial"/>
              </w:rPr>
              <w:t>Bungalows</w:t>
            </w:r>
          </w:p>
        </w:tc>
        <w:tc>
          <w:tcPr>
            <w:tcW w:w="2835" w:type="dxa"/>
          </w:tcPr>
          <w:p w14:paraId="22377331" w14:textId="77777777" w:rsidR="003B6872" w:rsidRPr="003B6872" w:rsidRDefault="003B6872" w:rsidP="003B6872">
            <w:pPr>
              <w:jc w:val="center"/>
              <w:rPr>
                <w:rFonts w:cs="Arial"/>
              </w:rPr>
            </w:pPr>
            <w:r w:rsidRPr="003B6872">
              <w:rPr>
                <w:rFonts w:cs="Arial"/>
              </w:rPr>
              <w:t>380</w:t>
            </w:r>
          </w:p>
        </w:tc>
      </w:tr>
      <w:tr w:rsidR="003B6872" w14:paraId="41987E07" w14:textId="77777777" w:rsidTr="003B6872">
        <w:trPr>
          <w:trHeight w:val="300"/>
        </w:trPr>
        <w:tc>
          <w:tcPr>
            <w:tcW w:w="2835" w:type="dxa"/>
          </w:tcPr>
          <w:p w14:paraId="080CA177" w14:textId="77777777" w:rsidR="003B6872" w:rsidRPr="003B6872" w:rsidRDefault="003B6872" w:rsidP="003B6872">
            <w:pPr>
              <w:jc w:val="center"/>
              <w:rPr>
                <w:rFonts w:cs="Arial"/>
              </w:rPr>
            </w:pPr>
            <w:r w:rsidRPr="003B6872">
              <w:rPr>
                <w:rFonts w:cs="Arial"/>
              </w:rPr>
              <w:t>Houses</w:t>
            </w:r>
          </w:p>
        </w:tc>
        <w:tc>
          <w:tcPr>
            <w:tcW w:w="2835" w:type="dxa"/>
          </w:tcPr>
          <w:p w14:paraId="679B0840" w14:textId="77777777" w:rsidR="003B6872" w:rsidRPr="003B6872" w:rsidRDefault="003B6872" w:rsidP="003B6872">
            <w:pPr>
              <w:jc w:val="center"/>
              <w:rPr>
                <w:rFonts w:cs="Arial"/>
              </w:rPr>
            </w:pPr>
            <w:r w:rsidRPr="003B6872">
              <w:rPr>
                <w:rFonts w:cs="Arial"/>
              </w:rPr>
              <w:t>4678</w:t>
            </w:r>
          </w:p>
        </w:tc>
      </w:tr>
    </w:tbl>
    <w:p w14:paraId="17E5E096" w14:textId="4A7A69D1" w:rsidR="003B6872" w:rsidRDefault="003B6872" w:rsidP="003B6872">
      <w:pPr>
        <w:pStyle w:val="ListParagraph"/>
        <w:numPr>
          <w:ilvl w:val="0"/>
          <w:numId w:val="0"/>
        </w:numPr>
        <w:ind w:left="426"/>
      </w:pPr>
    </w:p>
    <w:p w14:paraId="553A6598" w14:textId="0F5BB342" w:rsidR="003B6872" w:rsidRDefault="003B6872" w:rsidP="00244485">
      <w:pPr>
        <w:pStyle w:val="ListParagraph"/>
        <w:jc w:val="both"/>
      </w:pPr>
      <w:r>
        <w:t>The figures for flats include 717 leasehold properties.</w:t>
      </w:r>
    </w:p>
    <w:p w14:paraId="4BF89490" w14:textId="601F6520" w:rsidR="003B6872" w:rsidRDefault="003B6872" w:rsidP="00244485">
      <w:pPr>
        <w:pStyle w:val="ListParagraph"/>
        <w:jc w:val="both"/>
      </w:pPr>
      <w:r w:rsidRPr="57D5706F">
        <w:t>The Council has a statutory duty to ensure that these properties are safe to be used as residential accommodation.</w:t>
      </w:r>
      <w:r>
        <w:t xml:space="preserve"> </w:t>
      </w:r>
    </w:p>
    <w:p w14:paraId="2F7775C9" w14:textId="58EEDCBF" w:rsidR="003B6872" w:rsidRDefault="003B6872" w:rsidP="00244485">
      <w:pPr>
        <w:pStyle w:val="ListParagraph"/>
        <w:jc w:val="both"/>
        <w:rPr>
          <w:rFonts w:cs="Arial"/>
        </w:rPr>
      </w:pPr>
      <w:r w:rsidRPr="003B6872">
        <w:rPr>
          <w:rFonts w:cs="Arial"/>
        </w:rPr>
        <w:lastRenderedPageBreak/>
        <w:t xml:space="preserve">Ensuring compliance with this duty involves inspection, servicing and maintenance on </w:t>
      </w:r>
      <w:bookmarkStart w:id="0" w:name="_Int_7ImCNOkw"/>
      <w:r w:rsidRPr="003B6872">
        <w:rPr>
          <w:rFonts w:cs="Arial"/>
        </w:rPr>
        <w:t>a number of</w:t>
      </w:r>
      <w:bookmarkEnd w:id="0"/>
      <w:r w:rsidRPr="003B6872">
        <w:rPr>
          <w:rFonts w:cs="Arial"/>
        </w:rPr>
        <w:t xml:space="preserve"> building related elements </w:t>
      </w:r>
      <w:bookmarkStart w:id="1" w:name="_Int_o2DnQJNI"/>
      <w:r w:rsidRPr="003B6872">
        <w:rPr>
          <w:rFonts w:cs="Arial"/>
        </w:rPr>
        <w:t>in order to</w:t>
      </w:r>
      <w:bookmarkEnd w:id="1"/>
      <w:r w:rsidRPr="003B6872">
        <w:rPr>
          <w:rFonts w:cs="Arial"/>
        </w:rPr>
        <w:t xml:space="preserve"> provide assurance that the residential units are as safe as they can be.</w:t>
      </w:r>
    </w:p>
    <w:p w14:paraId="708939F2" w14:textId="77777777" w:rsidR="003B6872" w:rsidRDefault="003B6872" w:rsidP="00244485">
      <w:pPr>
        <w:pStyle w:val="ListParagraph"/>
        <w:jc w:val="both"/>
      </w:pPr>
      <w:r w:rsidRPr="7A931A66">
        <w:t>Building Compliance is increasingly considering building methods, construction type and component types such as ACM cladding and RAAC concrete as recent examples. With Building Regulation requiring confirmation of appropriateness of both existing material and that used in new build property.</w:t>
      </w:r>
    </w:p>
    <w:p w14:paraId="0A0B79F7" w14:textId="77777777" w:rsidR="003B6872" w:rsidRDefault="003B6872" w:rsidP="00244485">
      <w:pPr>
        <w:pStyle w:val="ListParagraph"/>
        <w:jc w:val="both"/>
      </w:pPr>
      <w:r w:rsidRPr="57D5706F">
        <w:t>The compliance elements vary according to the type of property, for example, we have compliance duties that will only apply to communal areas of flats and not in houses i.e. the requirement to carry out a fire risk assessment.</w:t>
      </w:r>
    </w:p>
    <w:p w14:paraId="5E9761A1" w14:textId="1832FDB7" w:rsidR="003B6872" w:rsidRDefault="003B6872" w:rsidP="00244485">
      <w:pPr>
        <w:pStyle w:val="ListParagraph"/>
        <w:jc w:val="both"/>
        <w:rPr>
          <w:rFonts w:cs="Arial"/>
        </w:rPr>
      </w:pPr>
      <w:r>
        <w:rPr>
          <w:rFonts w:cs="Arial"/>
        </w:rPr>
        <w:t>Key areas of legislation are:</w:t>
      </w:r>
    </w:p>
    <w:p w14:paraId="773C249A" w14:textId="01B8CFFF" w:rsidR="003B6872" w:rsidRDefault="003B6872" w:rsidP="00244485">
      <w:pPr>
        <w:pStyle w:val="ListParagraph"/>
        <w:numPr>
          <w:ilvl w:val="0"/>
          <w:numId w:val="34"/>
        </w:numPr>
        <w:jc w:val="both"/>
        <w:rPr>
          <w:rFonts w:cs="Arial"/>
        </w:rPr>
      </w:pPr>
      <w:r>
        <w:rPr>
          <w:rFonts w:cs="Arial"/>
        </w:rPr>
        <w:t>The Gas Safety (Installation and Use) Regulations 1998</w:t>
      </w:r>
    </w:p>
    <w:p w14:paraId="2A101CD0" w14:textId="05FED1C5" w:rsidR="00247C62" w:rsidRDefault="00247C62" w:rsidP="00244485">
      <w:pPr>
        <w:pStyle w:val="ListParagraph"/>
        <w:numPr>
          <w:ilvl w:val="0"/>
          <w:numId w:val="34"/>
        </w:numPr>
        <w:jc w:val="both"/>
        <w:rPr>
          <w:rFonts w:cs="Arial"/>
        </w:rPr>
      </w:pPr>
      <w:r>
        <w:rPr>
          <w:rFonts w:cs="Arial"/>
        </w:rPr>
        <w:t>The Electricity at Work Regulations 1989</w:t>
      </w:r>
    </w:p>
    <w:p w14:paraId="01237237" w14:textId="77777777" w:rsidR="00247C62" w:rsidRPr="00247C62" w:rsidRDefault="00247C62" w:rsidP="00244485">
      <w:pPr>
        <w:pStyle w:val="ListParagraph"/>
        <w:numPr>
          <w:ilvl w:val="0"/>
          <w:numId w:val="34"/>
        </w:numPr>
        <w:jc w:val="both"/>
        <w:rPr>
          <w:rFonts w:cs="Arial"/>
        </w:rPr>
      </w:pPr>
      <w:r w:rsidRPr="00247C62">
        <w:rPr>
          <w:rFonts w:cs="Arial"/>
        </w:rPr>
        <w:t xml:space="preserve">The Building Safety Act 2022 </w:t>
      </w:r>
    </w:p>
    <w:p w14:paraId="47E16B1E" w14:textId="77777777" w:rsidR="00247C62" w:rsidRPr="00247C62" w:rsidRDefault="00247C62" w:rsidP="00244485">
      <w:pPr>
        <w:pStyle w:val="ListParagraph"/>
        <w:numPr>
          <w:ilvl w:val="0"/>
          <w:numId w:val="34"/>
        </w:numPr>
        <w:jc w:val="both"/>
        <w:rPr>
          <w:rFonts w:cs="Arial"/>
        </w:rPr>
      </w:pPr>
      <w:r w:rsidRPr="00247C62">
        <w:rPr>
          <w:rFonts w:cs="Arial"/>
        </w:rPr>
        <w:t>The Regulatory Reform (Fire Safety) Order 2005</w:t>
      </w:r>
    </w:p>
    <w:p w14:paraId="2DD72E26" w14:textId="77777777" w:rsidR="00247C62" w:rsidRPr="00247C62" w:rsidRDefault="00247C62" w:rsidP="00244485">
      <w:pPr>
        <w:pStyle w:val="ListParagraph"/>
        <w:numPr>
          <w:ilvl w:val="0"/>
          <w:numId w:val="34"/>
        </w:numPr>
        <w:jc w:val="both"/>
        <w:rPr>
          <w:rFonts w:cs="Arial"/>
        </w:rPr>
      </w:pPr>
      <w:r w:rsidRPr="00247C62">
        <w:rPr>
          <w:rFonts w:cs="Arial"/>
        </w:rPr>
        <w:t>The Control of Asbestos Regulations 2012</w:t>
      </w:r>
    </w:p>
    <w:p w14:paraId="33123B5A" w14:textId="77777777" w:rsidR="00247C62" w:rsidRPr="00247C62" w:rsidRDefault="00247C62" w:rsidP="00244485">
      <w:pPr>
        <w:pStyle w:val="ListParagraph"/>
        <w:numPr>
          <w:ilvl w:val="0"/>
          <w:numId w:val="34"/>
        </w:numPr>
        <w:jc w:val="both"/>
        <w:rPr>
          <w:rFonts w:cs="Arial"/>
        </w:rPr>
      </w:pPr>
      <w:r w:rsidRPr="00247C62">
        <w:rPr>
          <w:rFonts w:cs="Arial"/>
        </w:rPr>
        <w:t>‘Legionnaires’ disease. The control of legionella bacteria in water systems, (Approved code of practice L8)</w:t>
      </w:r>
    </w:p>
    <w:p w14:paraId="5D7BB37A" w14:textId="77777777" w:rsidR="00247C62" w:rsidRPr="00247C62" w:rsidRDefault="00247C62" w:rsidP="00244485">
      <w:pPr>
        <w:pStyle w:val="ListParagraph"/>
        <w:numPr>
          <w:ilvl w:val="0"/>
          <w:numId w:val="34"/>
        </w:numPr>
        <w:jc w:val="both"/>
        <w:rPr>
          <w:rFonts w:cs="Arial"/>
        </w:rPr>
      </w:pPr>
      <w:r w:rsidRPr="00247C62">
        <w:rPr>
          <w:rFonts w:cs="Arial"/>
        </w:rPr>
        <w:t>Lifting Operations and Lifting Equipment Regulations 1998 (LOLER)</w:t>
      </w:r>
    </w:p>
    <w:p w14:paraId="6DA1299B" w14:textId="77777777" w:rsidR="00247C62" w:rsidRPr="00247C62" w:rsidRDefault="00247C62" w:rsidP="00244485">
      <w:pPr>
        <w:pStyle w:val="ListParagraph"/>
        <w:numPr>
          <w:ilvl w:val="0"/>
          <w:numId w:val="34"/>
        </w:numPr>
        <w:jc w:val="both"/>
        <w:rPr>
          <w:rFonts w:cs="Arial"/>
        </w:rPr>
      </w:pPr>
      <w:r w:rsidRPr="00247C62">
        <w:rPr>
          <w:rFonts w:cs="Arial"/>
        </w:rPr>
        <w:t>Construction (Design and Management) Regulations 2015 (CDM 2015)</w:t>
      </w:r>
    </w:p>
    <w:p w14:paraId="5AC61ACA" w14:textId="640E8095" w:rsidR="00247C62" w:rsidRDefault="00247C62" w:rsidP="00244485">
      <w:pPr>
        <w:pStyle w:val="ListParagraph"/>
        <w:numPr>
          <w:ilvl w:val="0"/>
          <w:numId w:val="34"/>
        </w:numPr>
        <w:jc w:val="both"/>
        <w:rPr>
          <w:rFonts w:cs="Arial"/>
        </w:rPr>
      </w:pPr>
      <w:r w:rsidRPr="00247C62">
        <w:rPr>
          <w:rFonts w:cs="Arial"/>
        </w:rPr>
        <w:t>Building Regulations (all relevant parts and amendments)</w:t>
      </w:r>
    </w:p>
    <w:p w14:paraId="1B67BCCE" w14:textId="3D6E64AD" w:rsidR="00247C62" w:rsidRDefault="00247C62" w:rsidP="00247C62">
      <w:pPr>
        <w:rPr>
          <w:rFonts w:cs="Arial"/>
        </w:rPr>
      </w:pPr>
    </w:p>
    <w:p w14:paraId="5403B234" w14:textId="29AE8D51" w:rsidR="00247C62" w:rsidRDefault="00247C62" w:rsidP="00244485">
      <w:pPr>
        <w:pStyle w:val="ListParagraph"/>
        <w:jc w:val="both"/>
      </w:pPr>
      <w:r w:rsidRPr="7A931A66">
        <w:t xml:space="preserve">Property Services manage the compliance activities across Oxford City Council’s housing stock and are responsible for ensuring the Council remains compliant and reporting on this to the Executive and </w:t>
      </w:r>
      <w:r>
        <w:t>M</w:t>
      </w:r>
      <w:r w:rsidRPr="7A931A66">
        <w:t>embers.</w:t>
      </w:r>
    </w:p>
    <w:p w14:paraId="0B3691A9" w14:textId="4AADBFCB" w:rsidR="00247C62" w:rsidRDefault="00247C62" w:rsidP="00244485">
      <w:pPr>
        <w:pStyle w:val="ListParagraph"/>
        <w:jc w:val="both"/>
      </w:pPr>
      <w:r w:rsidRPr="7A931A66">
        <w:t>Property Services manages the key areas concerning all Council</w:t>
      </w:r>
      <w:r>
        <w:t>-</w:t>
      </w:r>
      <w:r w:rsidRPr="7A931A66">
        <w:t>owned Properties including</w:t>
      </w:r>
      <w:r>
        <w:t>:</w:t>
      </w:r>
      <w:r w:rsidRPr="7A931A66">
        <w:t xml:space="preserve"> Energy &amp; Sustainability, Technical Engineering, Data Knowledge, Surveying &amp; Operational </w:t>
      </w:r>
      <w:r>
        <w:t>S</w:t>
      </w:r>
      <w:r w:rsidRPr="7A931A66">
        <w:t xml:space="preserve">ervice </w:t>
      </w:r>
      <w:r>
        <w:t>D</w:t>
      </w:r>
      <w:r w:rsidRPr="7A931A66">
        <w:t xml:space="preserve">elivery (Repairs &amp; Maintenance) and Building Safety &amp; Compliance. </w:t>
      </w:r>
    </w:p>
    <w:p w14:paraId="6F1E0DB7" w14:textId="77777777" w:rsidR="00247C62" w:rsidRDefault="00247C62" w:rsidP="00244485">
      <w:pPr>
        <w:pStyle w:val="ListParagraph"/>
        <w:jc w:val="both"/>
      </w:pPr>
      <w:r w:rsidRPr="7A931A66">
        <w:t>The Building Safety and Compliance team manages areas which include Fire Safety, Water Management, Asbestos Management, Construction Design Management (CDM) and all other related Safety and Compliance items concerning the property portfolio.</w:t>
      </w:r>
    </w:p>
    <w:p w14:paraId="3364C193" w14:textId="056E1DE7" w:rsidR="00247C62" w:rsidRDefault="00247C62" w:rsidP="00244485">
      <w:pPr>
        <w:pStyle w:val="ListParagraph"/>
        <w:jc w:val="both"/>
      </w:pPr>
      <w:r w:rsidRPr="7A931A66">
        <w:t>The team currently consists of a Team Manager</w:t>
      </w:r>
      <w:r>
        <w:t>;</w:t>
      </w:r>
      <w:r w:rsidRPr="7A931A66">
        <w:t xml:space="preserve"> two Building Safety Man</w:t>
      </w:r>
      <w:r>
        <w:t>a</w:t>
      </w:r>
      <w:r w:rsidRPr="7A931A66">
        <w:t>gers</w:t>
      </w:r>
      <w:r>
        <w:t>;</w:t>
      </w:r>
      <w:r w:rsidRPr="7A931A66">
        <w:t xml:space="preserve"> CDM, Risk and Permit Officers</w:t>
      </w:r>
      <w:r>
        <w:t>;</w:t>
      </w:r>
      <w:r w:rsidRPr="7A931A66">
        <w:t xml:space="preserve"> Fire Safety Support Officer</w:t>
      </w:r>
      <w:r>
        <w:t>;</w:t>
      </w:r>
      <w:r w:rsidRPr="7A931A66">
        <w:t xml:space="preserve"> and an Asbestos &amp; Water Management Officer.</w:t>
      </w:r>
    </w:p>
    <w:p w14:paraId="7C034D39" w14:textId="30AC9722" w:rsidR="00247C62" w:rsidRDefault="00247C62" w:rsidP="00244485">
      <w:pPr>
        <w:pStyle w:val="ListParagraph"/>
        <w:jc w:val="both"/>
      </w:pPr>
      <w:r w:rsidRPr="7A931A66">
        <w:t xml:space="preserve">A key function of the team </w:t>
      </w:r>
      <w:bookmarkStart w:id="2" w:name="_Int_ed2KWwvX"/>
      <w:r w:rsidR="00244485">
        <w:t>in</w:t>
      </w:r>
      <w:r w:rsidRPr="7A931A66">
        <w:t xml:space="preserve"> regard to</w:t>
      </w:r>
      <w:bookmarkEnd w:id="2"/>
      <w:r w:rsidRPr="7A931A66">
        <w:t xml:space="preserve"> Compliance is to ensure that all compliance inspections are carried out within the required </w:t>
      </w:r>
      <w:bookmarkStart w:id="3" w:name="_Int_It5gRshM"/>
      <w:r w:rsidRPr="7A931A66">
        <w:t>timeframes</w:t>
      </w:r>
      <w:bookmarkEnd w:id="3"/>
      <w:r w:rsidRPr="7A931A66">
        <w:t xml:space="preserve"> and component elements (Gas Boilers, Electrical infrastructure</w:t>
      </w:r>
      <w:r>
        <w:t>,</w:t>
      </w:r>
      <w:r w:rsidRPr="7A931A66">
        <w:t xml:space="preserve"> etc</w:t>
      </w:r>
      <w:r>
        <w:t>.</w:t>
      </w:r>
      <w:r w:rsidRPr="7A931A66">
        <w:t xml:space="preserve">) are inspected, </w:t>
      </w:r>
      <w:bookmarkStart w:id="4" w:name="_Int_8dLe8Irf"/>
      <w:r w:rsidRPr="7A931A66">
        <w:t>tested</w:t>
      </w:r>
      <w:bookmarkEnd w:id="4"/>
      <w:r w:rsidRPr="7A931A66">
        <w:t xml:space="preserve"> and </w:t>
      </w:r>
      <w:bookmarkStart w:id="5" w:name="_Int_RUjBmTgx"/>
      <w:r w:rsidRPr="7A931A66">
        <w:t>certified at all times</w:t>
      </w:r>
      <w:bookmarkEnd w:id="5"/>
      <w:r w:rsidRPr="7A931A66">
        <w:t xml:space="preserve">. </w:t>
      </w:r>
    </w:p>
    <w:p w14:paraId="4F190CAD" w14:textId="1A037DDB" w:rsidR="00247C62" w:rsidRPr="00247C62" w:rsidRDefault="00247C62" w:rsidP="00244485">
      <w:pPr>
        <w:pStyle w:val="ListParagraph"/>
        <w:jc w:val="both"/>
      </w:pPr>
      <w:r w:rsidRPr="57D5706F">
        <w:t>Property Services manage these inspections via contracted services from both internal and external specialist contractors.</w:t>
      </w:r>
    </w:p>
    <w:p w14:paraId="764844C0" w14:textId="740285E8" w:rsidR="00633578" w:rsidRPr="001356F1" w:rsidRDefault="00247C62" w:rsidP="00E87F7A">
      <w:pPr>
        <w:pStyle w:val="Heading1"/>
      </w:pPr>
      <w:r>
        <w:lastRenderedPageBreak/>
        <w:t>Building Safety Compliance Elements Currently Monitored and Reported On</w:t>
      </w:r>
    </w:p>
    <w:p w14:paraId="4D826965" w14:textId="121BEAB7" w:rsidR="00E87F7A" w:rsidRDefault="00247C62" w:rsidP="00244485">
      <w:pPr>
        <w:pStyle w:val="bParagraphtext"/>
        <w:jc w:val="both"/>
        <w:rPr>
          <w:rFonts w:cs="Arial"/>
        </w:rPr>
      </w:pPr>
      <w:r w:rsidRPr="00247C62">
        <w:rPr>
          <w:rFonts w:cs="Arial"/>
          <w:b/>
          <w:bCs/>
          <w:u w:val="single"/>
        </w:rPr>
        <w:t>Gas Safety:</w:t>
      </w:r>
      <w:r w:rsidRPr="00247C62">
        <w:rPr>
          <w:rFonts w:cs="Arial"/>
        </w:rPr>
        <w:t xml:space="preserve"> </w:t>
      </w:r>
      <w:r>
        <w:rPr>
          <w:rFonts w:cs="Arial"/>
        </w:rPr>
        <w:t>M</w:t>
      </w:r>
      <w:r w:rsidRPr="00247C62">
        <w:rPr>
          <w:rFonts w:cs="Arial"/>
        </w:rPr>
        <w:t>onitored monthly by way of reporting the number properties by % with a valid gas certificate against number of properties requiring one. (Note: not all properties have a gas supply). We also monitor progress on Carbon Monoxide monitor installations.</w:t>
      </w:r>
    </w:p>
    <w:p w14:paraId="55ADA115" w14:textId="56CC4885" w:rsidR="00247C62" w:rsidRPr="00247C62" w:rsidRDefault="00247C62" w:rsidP="00244485">
      <w:pPr>
        <w:pStyle w:val="ListParagraph"/>
        <w:jc w:val="both"/>
        <w:rPr>
          <w:rFonts w:asciiTheme="minorHAnsi" w:eastAsia="Aptos" w:hAnsiTheme="minorHAnsi" w:cstheme="minorHAnsi"/>
          <w:color w:val="000000" w:themeColor="text1"/>
        </w:rPr>
      </w:pPr>
      <w:r w:rsidRPr="00247C62">
        <w:rPr>
          <w:rFonts w:cs="Arial"/>
          <w:b/>
          <w:bCs/>
          <w:u w:val="single"/>
        </w:rPr>
        <w:t>Electrical Safety:</w:t>
      </w:r>
      <w:r w:rsidRPr="00247C62">
        <w:rPr>
          <w:rStyle w:val="ListParagraphChar"/>
          <w:rFonts w:cs="Arial"/>
        </w:rPr>
        <w:t xml:space="preserve"> </w:t>
      </w:r>
      <w:r>
        <w:t>M</w:t>
      </w:r>
      <w:r w:rsidRPr="7A931A66">
        <w:t xml:space="preserve">onitored monthly by way of reporting by % the number of properties with a clean inspection certificate against the number of properties </w:t>
      </w:r>
      <w:r w:rsidRPr="00247C62">
        <w:rPr>
          <w:rFonts w:cstheme="minorHAnsi"/>
        </w:rPr>
        <w:t xml:space="preserve">requiring one (based on a 5-year inspection </w:t>
      </w:r>
      <w:r w:rsidRPr="00247C62">
        <w:rPr>
          <w:rFonts w:cs="Arial"/>
        </w:rPr>
        <w:t xml:space="preserve">programme). Although the inspection frequency is not an absolute duty, </w:t>
      </w:r>
      <w:r w:rsidRPr="00247C62">
        <w:rPr>
          <w:rFonts w:eastAsia="Aptos" w:cs="Arial"/>
          <w:color w:val="000000" w:themeColor="text1"/>
        </w:rPr>
        <w:t>the Electrical Safety Council advises 5-yearly inspections for rented accommodation and this is an accepted industry standard.</w:t>
      </w:r>
    </w:p>
    <w:p w14:paraId="22B8C82D" w14:textId="053D68EE" w:rsidR="00247C62" w:rsidRDefault="00247C62" w:rsidP="00244485">
      <w:pPr>
        <w:pStyle w:val="bParagraphtext"/>
        <w:jc w:val="both"/>
        <w:rPr>
          <w:rFonts w:cs="Arial"/>
        </w:rPr>
      </w:pPr>
      <w:r>
        <w:rPr>
          <w:rStyle w:val="ListParagraphChar"/>
          <w:rFonts w:cs="Arial"/>
          <w:b/>
          <w:bCs/>
          <w:u w:val="single"/>
        </w:rPr>
        <w:t>Asbestos Management:</w:t>
      </w:r>
      <w:r>
        <w:rPr>
          <w:rStyle w:val="ListParagraphChar"/>
          <w:rFonts w:cs="Arial"/>
        </w:rPr>
        <w:t xml:space="preserve"> </w:t>
      </w:r>
      <w:r>
        <w:rPr>
          <w:rFonts w:cs="Arial"/>
        </w:rPr>
        <w:t>M</w:t>
      </w:r>
      <w:r w:rsidRPr="00247C62">
        <w:rPr>
          <w:rFonts w:cs="Arial"/>
        </w:rPr>
        <w:t>onitored monthly by way of reporting by % the number of properties with an ‘in-date’ asbestos management survey against the number of properties requiring one.</w:t>
      </w:r>
    </w:p>
    <w:p w14:paraId="3B2560F5" w14:textId="3295509F" w:rsidR="00247C62" w:rsidRPr="00247C62" w:rsidRDefault="00247C62" w:rsidP="00244485">
      <w:pPr>
        <w:pStyle w:val="ListParagraph"/>
        <w:ind w:left="360" w:hanging="360"/>
        <w:jc w:val="both"/>
        <w:rPr>
          <w:rFonts w:asciiTheme="minorHAnsi" w:hAnsiTheme="minorHAnsi" w:cstheme="minorBidi"/>
        </w:rPr>
      </w:pPr>
      <w:r w:rsidRPr="00247C62">
        <w:rPr>
          <w:rStyle w:val="ListParagraphChar"/>
          <w:rFonts w:cs="Arial"/>
          <w:b/>
          <w:bCs/>
          <w:u w:val="single"/>
        </w:rPr>
        <w:t>Fire Safety:</w:t>
      </w:r>
      <w:r w:rsidRPr="00247C62">
        <w:rPr>
          <w:rStyle w:val="ListParagraphChar"/>
          <w:rFonts w:cs="Arial"/>
        </w:rPr>
        <w:t xml:space="preserve"> </w:t>
      </w:r>
      <w:r>
        <w:rPr>
          <w:rFonts w:cs="Arial"/>
        </w:rPr>
        <w:t>M</w:t>
      </w:r>
      <w:r w:rsidRPr="00247C62">
        <w:rPr>
          <w:rFonts w:cs="Arial"/>
        </w:rPr>
        <w:t>onitoring various element inspections (fire alarm system, emergency lighting, extinguishers, dry risers, sprinklers etc.</w:t>
      </w:r>
      <w:r>
        <w:rPr>
          <w:rFonts w:cs="Arial"/>
        </w:rPr>
        <w:t>)</w:t>
      </w:r>
      <w:r w:rsidRPr="00247C62">
        <w:rPr>
          <w:rFonts w:cs="Arial"/>
        </w:rPr>
        <w:t xml:space="preserve"> these are reported on a % basis comparing the number of sites requiring the relevant inspection against the number that have received the inspection.</w:t>
      </w:r>
      <w:r w:rsidRPr="00247C62">
        <w:rPr>
          <w:rFonts w:asciiTheme="minorHAnsi" w:hAnsiTheme="minorHAnsi" w:cstheme="minorBidi"/>
        </w:rPr>
        <w:t xml:space="preserve"> </w:t>
      </w:r>
      <w:r w:rsidRPr="00247C62">
        <w:t>Ensuring that all fire risk assessments required are carried out and any actions identified are implemented, again this is reported as a % of those properties with an ‘in date’ risk assessment. Actions are reported separately.</w:t>
      </w:r>
    </w:p>
    <w:p w14:paraId="50DD87D1" w14:textId="508D402B" w:rsidR="00247C62" w:rsidRDefault="00247C62" w:rsidP="00244485">
      <w:pPr>
        <w:pStyle w:val="bParagraphtext"/>
        <w:jc w:val="both"/>
        <w:rPr>
          <w:rFonts w:cs="Arial"/>
        </w:rPr>
      </w:pPr>
      <w:r>
        <w:rPr>
          <w:rStyle w:val="ListParagraphChar"/>
          <w:rFonts w:cs="Arial"/>
          <w:b/>
          <w:bCs/>
          <w:u w:val="single"/>
        </w:rPr>
        <w:t>Water Safety:</w:t>
      </w:r>
      <w:r>
        <w:rPr>
          <w:rStyle w:val="ListParagraphChar"/>
          <w:rFonts w:cs="Arial"/>
        </w:rPr>
        <w:t xml:space="preserve"> </w:t>
      </w:r>
      <w:r w:rsidRPr="00247C62">
        <w:rPr>
          <w:rFonts w:cs="Arial"/>
        </w:rPr>
        <w:t>Monitored monthly by way of reporting by % the number of properties that require planned preventative maintenance (ppm’s) and tank inspections as well as those with an ‘in-date’ legionella risk assessment against the number of properties requiring one.</w:t>
      </w:r>
    </w:p>
    <w:p w14:paraId="55E39AF8" w14:textId="53CBF76B" w:rsidR="00F91FD1" w:rsidRDefault="00F91FD1" w:rsidP="00244485">
      <w:pPr>
        <w:pStyle w:val="bParagraphtext"/>
        <w:jc w:val="both"/>
        <w:rPr>
          <w:rFonts w:cs="Arial"/>
        </w:rPr>
      </w:pPr>
      <w:r>
        <w:rPr>
          <w:rStyle w:val="ListParagraphChar"/>
          <w:rFonts w:cs="Arial"/>
          <w:b/>
          <w:bCs/>
          <w:u w:val="single"/>
        </w:rPr>
        <w:t>Lift Maintenance:</w:t>
      </w:r>
      <w:r w:rsidRPr="00F91FD1">
        <w:rPr>
          <w:rStyle w:val="ListParagraphChar"/>
          <w:rFonts w:cs="Arial"/>
          <w:b/>
          <w:bCs/>
        </w:rPr>
        <w:t xml:space="preserve"> </w:t>
      </w:r>
      <w:r w:rsidRPr="00F91FD1">
        <w:rPr>
          <w:rFonts w:cs="Arial"/>
        </w:rPr>
        <w:t>(Passenger Lifts and Domestic Stair lifts) monitored monthly by way of reporting the number properties on a % basis, comparing the number of sites requiring the relevant inspection against the number that have received the inspection.</w:t>
      </w:r>
    </w:p>
    <w:p w14:paraId="52DF994A" w14:textId="0A8C46E3" w:rsidR="00F91FD1" w:rsidRDefault="00F91FD1" w:rsidP="00244485">
      <w:pPr>
        <w:pStyle w:val="bParagraphtext"/>
        <w:jc w:val="both"/>
        <w:rPr>
          <w:rFonts w:cs="Arial"/>
        </w:rPr>
      </w:pPr>
      <w:r>
        <w:rPr>
          <w:rStyle w:val="ListParagraphChar"/>
          <w:rFonts w:cs="Arial"/>
          <w:b/>
          <w:bCs/>
          <w:u w:val="single"/>
        </w:rPr>
        <w:t>Lightning Protection Systems:</w:t>
      </w:r>
      <w:r w:rsidRPr="00F91FD1">
        <w:rPr>
          <w:rStyle w:val="ListParagraphChar"/>
          <w:rFonts w:cs="Arial"/>
          <w:b/>
          <w:bCs/>
        </w:rPr>
        <w:t xml:space="preserve"> </w:t>
      </w:r>
      <w:r w:rsidRPr="00F91FD1">
        <w:rPr>
          <w:rStyle w:val="ListParagraphChar"/>
          <w:rFonts w:cs="Arial"/>
        </w:rPr>
        <w:t>M</w:t>
      </w:r>
      <w:r w:rsidRPr="00F91FD1">
        <w:rPr>
          <w:rFonts w:cs="Arial"/>
        </w:rPr>
        <w:t>onitored monthly by way of reporting the number properties by % with a valid inspection certificate against number of properties requiring one.</w:t>
      </w:r>
    </w:p>
    <w:p w14:paraId="42881681" w14:textId="5B335A03" w:rsidR="00F91FD1" w:rsidRPr="00247C62" w:rsidRDefault="00F91FD1" w:rsidP="00244485">
      <w:pPr>
        <w:pStyle w:val="bParagraphtext"/>
        <w:jc w:val="both"/>
        <w:rPr>
          <w:rStyle w:val="ListParagraphChar"/>
          <w:rFonts w:cs="Arial"/>
        </w:rPr>
      </w:pPr>
      <w:r>
        <w:rPr>
          <w:rStyle w:val="ListParagraphChar"/>
          <w:rFonts w:cs="Arial"/>
          <w:b/>
          <w:bCs/>
          <w:u w:val="single"/>
        </w:rPr>
        <w:t>Damp and Mould:</w:t>
      </w:r>
      <w:r>
        <w:rPr>
          <w:rStyle w:val="ListParagraphChar"/>
          <w:rFonts w:cs="Arial"/>
        </w:rPr>
        <w:t xml:space="preserve"> </w:t>
      </w:r>
      <w:r w:rsidRPr="00F91FD1">
        <w:rPr>
          <w:rFonts w:cs="Arial"/>
        </w:rPr>
        <w:t xml:space="preserve">Monitoring of damp and mould cases is carried out </w:t>
      </w:r>
      <w:bookmarkStart w:id="6" w:name="_Int_BKgRyOiz"/>
      <w:r w:rsidRPr="00F91FD1">
        <w:rPr>
          <w:rFonts w:cs="Arial"/>
        </w:rPr>
        <w:t>in order to</w:t>
      </w:r>
      <w:bookmarkEnd w:id="6"/>
      <w:r w:rsidRPr="00F91FD1">
        <w:rPr>
          <w:rFonts w:cs="Arial"/>
        </w:rPr>
        <w:t xml:space="preserve"> gauge impact and resource required as it is a </w:t>
      </w:r>
      <w:bookmarkStart w:id="7" w:name="_Int_W1zh5mgA"/>
      <w:r w:rsidRPr="00F91FD1">
        <w:rPr>
          <w:rFonts w:cs="Arial"/>
        </w:rPr>
        <w:t>relatively new</w:t>
      </w:r>
      <w:bookmarkEnd w:id="7"/>
      <w:r w:rsidRPr="00F91FD1">
        <w:rPr>
          <w:rFonts w:cs="Arial"/>
        </w:rPr>
        <w:t xml:space="preserve"> process.</w:t>
      </w:r>
    </w:p>
    <w:p w14:paraId="4D29BEC2" w14:textId="15CAC24C" w:rsidR="00E87F7A" w:rsidRPr="001356F1" w:rsidRDefault="00F91FD1" w:rsidP="00E87F7A">
      <w:pPr>
        <w:spacing w:before="240"/>
        <w:outlineLvl w:val="0"/>
        <w:rPr>
          <w:b/>
        </w:rPr>
      </w:pPr>
      <w:r>
        <w:rPr>
          <w:b/>
        </w:rPr>
        <w:t>Performance Monitoring</w:t>
      </w:r>
    </w:p>
    <w:p w14:paraId="7BE875FB" w14:textId="57EBD49C" w:rsidR="00F91FD1" w:rsidRPr="00F91FD1" w:rsidRDefault="00F91FD1" w:rsidP="00244485">
      <w:pPr>
        <w:pStyle w:val="ListParagraph"/>
        <w:ind w:left="360" w:hanging="360"/>
        <w:jc w:val="both"/>
        <w:rPr>
          <w:rFonts w:cs="Arial"/>
        </w:rPr>
      </w:pPr>
      <w:r w:rsidRPr="00F91FD1">
        <w:rPr>
          <w:rFonts w:cs="Arial"/>
        </w:rPr>
        <w:t xml:space="preserve">The performance monitoring report </w:t>
      </w:r>
      <w:r>
        <w:rPr>
          <w:rFonts w:cs="Arial"/>
        </w:rPr>
        <w:t xml:space="preserve">is </w:t>
      </w:r>
      <w:r w:rsidRPr="00F91FD1">
        <w:rPr>
          <w:rFonts w:cs="Arial"/>
        </w:rPr>
        <w:t>scrutinised and reviewed at the monthly Compliance Meeting</w:t>
      </w:r>
      <w:r>
        <w:rPr>
          <w:rFonts w:cs="Arial"/>
        </w:rPr>
        <w:t>,</w:t>
      </w:r>
      <w:r w:rsidRPr="00F91FD1">
        <w:rPr>
          <w:rFonts w:cs="Arial"/>
        </w:rPr>
        <w:t xml:space="preserve"> with key issues raised to the monthly Housing Review Group (HRG) and Quarterly Corporate Health &amp; Safety Group.</w:t>
      </w:r>
    </w:p>
    <w:p w14:paraId="36659DC5" w14:textId="5AA2FF43" w:rsidR="00F91FD1" w:rsidRPr="00F91FD1" w:rsidRDefault="00F91FD1" w:rsidP="00244485">
      <w:pPr>
        <w:pStyle w:val="ListParagraph"/>
        <w:ind w:left="360" w:hanging="360"/>
        <w:jc w:val="both"/>
        <w:rPr>
          <w:rFonts w:cs="Arial"/>
        </w:rPr>
      </w:pPr>
      <w:r w:rsidRPr="00F91FD1">
        <w:rPr>
          <w:rFonts w:cs="Arial"/>
        </w:rPr>
        <w:t>Compliance performance year</w:t>
      </w:r>
      <w:r>
        <w:rPr>
          <w:rFonts w:cs="Arial"/>
        </w:rPr>
        <w:t>-</w:t>
      </w:r>
      <w:r w:rsidRPr="00F91FD1">
        <w:rPr>
          <w:rFonts w:cs="Arial"/>
        </w:rPr>
        <w:t>t</w:t>
      </w:r>
      <w:r>
        <w:rPr>
          <w:rFonts w:cs="Arial"/>
        </w:rPr>
        <w:t>o-</w:t>
      </w:r>
      <w:r w:rsidRPr="00F91FD1">
        <w:rPr>
          <w:rFonts w:cs="Arial"/>
        </w:rPr>
        <w:t>date as of the end of October</w:t>
      </w:r>
      <w:r>
        <w:rPr>
          <w:rFonts w:cs="Arial"/>
        </w:rPr>
        <w:t xml:space="preserve"> 2023</w:t>
      </w:r>
      <w:r w:rsidRPr="00F91FD1">
        <w:rPr>
          <w:rFonts w:cs="Arial"/>
        </w:rPr>
        <w:t xml:space="preserve"> is summarised in the table below</w:t>
      </w:r>
      <w:r w:rsidR="00244485">
        <w:rPr>
          <w:rFonts w:cs="Arial"/>
        </w:rPr>
        <w:t>:</w:t>
      </w:r>
    </w:p>
    <w:p w14:paraId="684416E6" w14:textId="1F3981CB" w:rsidR="00C85B4E" w:rsidRDefault="00C85B4E" w:rsidP="00F91FD1">
      <w:pPr>
        <w:pStyle w:val="ListParagraph"/>
        <w:numPr>
          <w:ilvl w:val="0"/>
          <w:numId w:val="0"/>
        </w:numPr>
        <w:ind w:left="360"/>
      </w:pPr>
    </w:p>
    <w:p w14:paraId="7C350FC6" w14:textId="1AAB26A1" w:rsidR="00F91FD1" w:rsidRDefault="00F91FD1" w:rsidP="00F91FD1">
      <w:pPr>
        <w:pStyle w:val="ListParagraph"/>
        <w:numPr>
          <w:ilvl w:val="0"/>
          <w:numId w:val="0"/>
        </w:numPr>
        <w:ind w:left="360"/>
      </w:pPr>
    </w:p>
    <w:p w14:paraId="32F5A02B" w14:textId="140E5582" w:rsidR="00F91FD1" w:rsidRDefault="00F91FD1" w:rsidP="00F91FD1">
      <w:pPr>
        <w:pStyle w:val="ListParagraph"/>
        <w:numPr>
          <w:ilvl w:val="0"/>
          <w:numId w:val="0"/>
        </w:numPr>
        <w:ind w:left="360"/>
      </w:pPr>
    </w:p>
    <w:p w14:paraId="04F3256F" w14:textId="7EEFD88E" w:rsidR="00F91FD1" w:rsidRDefault="00F91FD1" w:rsidP="00F91FD1">
      <w:pPr>
        <w:pStyle w:val="ListParagraph"/>
        <w:numPr>
          <w:ilvl w:val="0"/>
          <w:numId w:val="0"/>
        </w:numPr>
        <w:ind w:left="360"/>
      </w:pPr>
    </w:p>
    <w:p w14:paraId="5253B97E" w14:textId="710004FE" w:rsidR="00F91FD1" w:rsidRDefault="00F91FD1" w:rsidP="00F91FD1">
      <w:pPr>
        <w:pStyle w:val="ListParagraph"/>
        <w:numPr>
          <w:ilvl w:val="0"/>
          <w:numId w:val="0"/>
        </w:numPr>
        <w:ind w:left="360"/>
      </w:pPr>
    </w:p>
    <w:tbl>
      <w:tblPr>
        <w:tblStyle w:val="TableGrid"/>
        <w:tblW w:w="8649" w:type="dxa"/>
        <w:tblInd w:w="785" w:type="dxa"/>
        <w:tblLook w:val="04A0" w:firstRow="1" w:lastRow="0" w:firstColumn="1" w:lastColumn="0" w:noHBand="0" w:noVBand="1"/>
      </w:tblPr>
      <w:tblGrid>
        <w:gridCol w:w="1764"/>
        <w:gridCol w:w="1794"/>
        <w:gridCol w:w="1951"/>
        <w:gridCol w:w="1443"/>
        <w:gridCol w:w="1697"/>
      </w:tblGrid>
      <w:tr w:rsidR="00F91FD1" w:rsidRPr="00F91FD1" w14:paraId="5F239E2E" w14:textId="77777777" w:rsidTr="00F91FD1">
        <w:trPr>
          <w:trHeight w:val="594"/>
        </w:trPr>
        <w:tc>
          <w:tcPr>
            <w:tcW w:w="1763" w:type="dxa"/>
            <w:shd w:val="clear" w:color="auto" w:fill="D9D9D9" w:themeFill="background1" w:themeFillShade="D9"/>
          </w:tcPr>
          <w:p w14:paraId="445FE38E" w14:textId="77777777" w:rsidR="00F91FD1" w:rsidRPr="00F91FD1" w:rsidRDefault="00F91FD1" w:rsidP="00645226">
            <w:pPr>
              <w:pStyle w:val="ListParagraph"/>
              <w:numPr>
                <w:ilvl w:val="0"/>
                <w:numId w:val="0"/>
              </w:numPr>
              <w:rPr>
                <w:rFonts w:cs="Arial"/>
                <w:b/>
                <w:bCs/>
              </w:rPr>
            </w:pPr>
            <w:r w:rsidRPr="00F91FD1">
              <w:rPr>
                <w:rFonts w:cs="Arial"/>
                <w:b/>
                <w:bCs/>
              </w:rPr>
              <w:lastRenderedPageBreak/>
              <w:t>Compliance Element</w:t>
            </w:r>
          </w:p>
        </w:tc>
        <w:tc>
          <w:tcPr>
            <w:tcW w:w="1794" w:type="dxa"/>
            <w:shd w:val="clear" w:color="auto" w:fill="D9D9D9" w:themeFill="background1" w:themeFillShade="D9"/>
          </w:tcPr>
          <w:p w14:paraId="2DA98D90" w14:textId="77777777" w:rsidR="00F91FD1" w:rsidRPr="00F91FD1" w:rsidRDefault="00F91FD1" w:rsidP="00645226">
            <w:pPr>
              <w:pStyle w:val="ListParagraph"/>
              <w:numPr>
                <w:ilvl w:val="0"/>
                <w:numId w:val="0"/>
              </w:numPr>
              <w:rPr>
                <w:rFonts w:cs="Arial"/>
                <w:b/>
                <w:bCs/>
              </w:rPr>
            </w:pPr>
            <w:r w:rsidRPr="00F91FD1">
              <w:rPr>
                <w:rFonts w:cs="Arial"/>
                <w:b/>
                <w:bCs/>
              </w:rPr>
              <w:t>Service Provider</w:t>
            </w:r>
          </w:p>
        </w:tc>
        <w:tc>
          <w:tcPr>
            <w:tcW w:w="1952" w:type="dxa"/>
            <w:shd w:val="clear" w:color="auto" w:fill="D9D9D9" w:themeFill="background1" w:themeFillShade="D9"/>
          </w:tcPr>
          <w:p w14:paraId="5CA89205" w14:textId="77777777" w:rsidR="00F91FD1" w:rsidRPr="00F91FD1" w:rsidRDefault="00F91FD1" w:rsidP="00645226">
            <w:pPr>
              <w:pStyle w:val="ListParagraph"/>
              <w:numPr>
                <w:ilvl w:val="0"/>
                <w:numId w:val="0"/>
              </w:numPr>
              <w:rPr>
                <w:rFonts w:cs="Arial"/>
                <w:b/>
                <w:bCs/>
              </w:rPr>
            </w:pPr>
            <w:r w:rsidRPr="00F91FD1">
              <w:rPr>
                <w:rFonts w:cs="Arial"/>
                <w:b/>
                <w:bCs/>
              </w:rPr>
              <w:t>Total number of sites</w:t>
            </w:r>
          </w:p>
        </w:tc>
        <w:tc>
          <w:tcPr>
            <w:tcW w:w="1443" w:type="dxa"/>
            <w:shd w:val="clear" w:color="auto" w:fill="D9D9D9" w:themeFill="background1" w:themeFillShade="D9"/>
          </w:tcPr>
          <w:p w14:paraId="49F6B94F" w14:textId="77777777" w:rsidR="00F91FD1" w:rsidRPr="00F91FD1" w:rsidRDefault="00F91FD1" w:rsidP="00645226">
            <w:pPr>
              <w:pStyle w:val="ListParagraph"/>
              <w:numPr>
                <w:ilvl w:val="0"/>
                <w:numId w:val="0"/>
              </w:numPr>
              <w:rPr>
                <w:rFonts w:cs="Arial"/>
                <w:b/>
                <w:bCs/>
              </w:rPr>
            </w:pPr>
            <w:r w:rsidRPr="00F91FD1">
              <w:rPr>
                <w:rFonts w:cs="Arial"/>
                <w:b/>
                <w:bCs/>
              </w:rPr>
              <w:t>Number compliant</w:t>
            </w:r>
          </w:p>
        </w:tc>
        <w:tc>
          <w:tcPr>
            <w:tcW w:w="1697" w:type="dxa"/>
            <w:shd w:val="clear" w:color="auto" w:fill="D9D9D9" w:themeFill="background1" w:themeFillShade="D9"/>
          </w:tcPr>
          <w:p w14:paraId="192FF055" w14:textId="77777777" w:rsidR="00F91FD1" w:rsidRPr="00F91FD1" w:rsidRDefault="00F91FD1" w:rsidP="00645226">
            <w:pPr>
              <w:pStyle w:val="ListParagraph"/>
              <w:numPr>
                <w:ilvl w:val="0"/>
                <w:numId w:val="0"/>
              </w:numPr>
              <w:rPr>
                <w:rFonts w:cs="Arial"/>
                <w:b/>
                <w:bCs/>
              </w:rPr>
            </w:pPr>
            <w:r w:rsidRPr="00F91FD1">
              <w:rPr>
                <w:rFonts w:cs="Arial"/>
                <w:b/>
                <w:bCs/>
              </w:rPr>
              <w:t>% compliant</w:t>
            </w:r>
          </w:p>
        </w:tc>
      </w:tr>
      <w:tr w:rsidR="00F91FD1" w:rsidRPr="00F91FD1" w14:paraId="4A84DCA7" w14:textId="77777777" w:rsidTr="00645226">
        <w:trPr>
          <w:trHeight w:val="539"/>
        </w:trPr>
        <w:tc>
          <w:tcPr>
            <w:tcW w:w="1763" w:type="dxa"/>
          </w:tcPr>
          <w:p w14:paraId="7478387A" w14:textId="77777777" w:rsidR="00F91FD1" w:rsidRPr="00F91FD1" w:rsidRDefault="00F91FD1" w:rsidP="00645226">
            <w:pPr>
              <w:pStyle w:val="ListParagraph"/>
              <w:numPr>
                <w:ilvl w:val="0"/>
                <w:numId w:val="0"/>
              </w:numPr>
              <w:rPr>
                <w:rFonts w:cs="Arial"/>
                <w:b/>
                <w:bCs/>
              </w:rPr>
            </w:pPr>
            <w:r w:rsidRPr="00F91FD1">
              <w:rPr>
                <w:rFonts w:cs="Arial"/>
                <w:b/>
                <w:bCs/>
              </w:rPr>
              <w:t>Gas safe inspections</w:t>
            </w:r>
          </w:p>
        </w:tc>
        <w:tc>
          <w:tcPr>
            <w:tcW w:w="1794" w:type="dxa"/>
          </w:tcPr>
          <w:p w14:paraId="431BA47E" w14:textId="77777777" w:rsidR="00F91FD1" w:rsidRPr="00F91FD1" w:rsidRDefault="00F91FD1" w:rsidP="00645226">
            <w:pPr>
              <w:pStyle w:val="ListParagraph"/>
              <w:numPr>
                <w:ilvl w:val="0"/>
                <w:numId w:val="0"/>
              </w:numPr>
              <w:rPr>
                <w:rFonts w:cs="Arial"/>
              </w:rPr>
            </w:pPr>
            <w:r w:rsidRPr="00F91FD1">
              <w:rPr>
                <w:rFonts w:cs="Arial"/>
              </w:rPr>
              <w:t>ODS (Internal partner)</w:t>
            </w:r>
          </w:p>
        </w:tc>
        <w:tc>
          <w:tcPr>
            <w:tcW w:w="1952" w:type="dxa"/>
          </w:tcPr>
          <w:p w14:paraId="16825F80" w14:textId="77777777" w:rsidR="00F91FD1" w:rsidRPr="00F91FD1" w:rsidRDefault="00F91FD1" w:rsidP="00645226">
            <w:pPr>
              <w:pStyle w:val="ListParagraph"/>
              <w:numPr>
                <w:ilvl w:val="0"/>
                <w:numId w:val="0"/>
              </w:numPr>
              <w:rPr>
                <w:rFonts w:cs="Arial"/>
              </w:rPr>
            </w:pPr>
            <w:r w:rsidRPr="00F91FD1">
              <w:rPr>
                <w:rFonts w:cs="Arial"/>
              </w:rPr>
              <w:t>6819</w:t>
            </w:r>
          </w:p>
        </w:tc>
        <w:tc>
          <w:tcPr>
            <w:tcW w:w="1443" w:type="dxa"/>
          </w:tcPr>
          <w:p w14:paraId="2296704B" w14:textId="77777777" w:rsidR="00F91FD1" w:rsidRPr="00F91FD1" w:rsidRDefault="00F91FD1" w:rsidP="00645226">
            <w:pPr>
              <w:pStyle w:val="ListParagraph"/>
              <w:numPr>
                <w:ilvl w:val="0"/>
                <w:numId w:val="0"/>
              </w:numPr>
              <w:rPr>
                <w:rFonts w:cs="Arial"/>
              </w:rPr>
            </w:pPr>
            <w:r w:rsidRPr="00F91FD1">
              <w:rPr>
                <w:rFonts w:cs="Arial"/>
              </w:rPr>
              <w:t>6819</w:t>
            </w:r>
          </w:p>
        </w:tc>
        <w:tc>
          <w:tcPr>
            <w:tcW w:w="1697" w:type="dxa"/>
          </w:tcPr>
          <w:p w14:paraId="005EA8F8" w14:textId="77777777" w:rsidR="00F91FD1" w:rsidRPr="00F91FD1" w:rsidRDefault="00F91FD1" w:rsidP="00645226">
            <w:pPr>
              <w:pStyle w:val="ListParagraph"/>
              <w:numPr>
                <w:ilvl w:val="0"/>
                <w:numId w:val="0"/>
              </w:numPr>
              <w:rPr>
                <w:rFonts w:cs="Arial"/>
              </w:rPr>
            </w:pPr>
            <w:r w:rsidRPr="00F91FD1">
              <w:rPr>
                <w:rFonts w:cs="Arial"/>
              </w:rPr>
              <w:t>100%</w:t>
            </w:r>
          </w:p>
        </w:tc>
      </w:tr>
      <w:tr w:rsidR="00F91FD1" w:rsidRPr="00F91FD1" w14:paraId="4C2A47F8" w14:textId="77777777" w:rsidTr="00645226">
        <w:trPr>
          <w:trHeight w:val="547"/>
        </w:trPr>
        <w:tc>
          <w:tcPr>
            <w:tcW w:w="1763" w:type="dxa"/>
          </w:tcPr>
          <w:p w14:paraId="6611D31A" w14:textId="77777777" w:rsidR="00F91FD1" w:rsidRPr="00F91FD1" w:rsidRDefault="00F91FD1" w:rsidP="00645226">
            <w:pPr>
              <w:pStyle w:val="ListParagraph"/>
              <w:numPr>
                <w:ilvl w:val="0"/>
                <w:numId w:val="0"/>
              </w:numPr>
              <w:rPr>
                <w:rFonts w:cs="Arial"/>
                <w:b/>
                <w:bCs/>
              </w:rPr>
            </w:pPr>
            <w:r w:rsidRPr="00F91FD1">
              <w:rPr>
                <w:rFonts w:cs="Arial"/>
                <w:b/>
                <w:bCs/>
              </w:rPr>
              <w:t>Electrical test &amp; Inspection (5yr)</w:t>
            </w:r>
          </w:p>
        </w:tc>
        <w:tc>
          <w:tcPr>
            <w:tcW w:w="1794" w:type="dxa"/>
          </w:tcPr>
          <w:p w14:paraId="54DC6BE7" w14:textId="77777777" w:rsidR="00F91FD1" w:rsidRPr="00F91FD1" w:rsidRDefault="00F91FD1" w:rsidP="00645226">
            <w:pPr>
              <w:pStyle w:val="ListParagraph"/>
              <w:numPr>
                <w:ilvl w:val="0"/>
                <w:numId w:val="0"/>
              </w:numPr>
              <w:rPr>
                <w:rFonts w:cs="Arial"/>
              </w:rPr>
            </w:pPr>
            <w:r w:rsidRPr="00F91FD1">
              <w:rPr>
                <w:rFonts w:cs="Arial"/>
              </w:rPr>
              <w:t xml:space="preserve">ODS (Internal partner) </w:t>
            </w:r>
          </w:p>
        </w:tc>
        <w:tc>
          <w:tcPr>
            <w:tcW w:w="1952" w:type="dxa"/>
          </w:tcPr>
          <w:p w14:paraId="2724667E" w14:textId="77777777" w:rsidR="00F91FD1" w:rsidRPr="00F91FD1" w:rsidRDefault="00F91FD1" w:rsidP="00645226">
            <w:pPr>
              <w:pStyle w:val="ListParagraph"/>
              <w:numPr>
                <w:ilvl w:val="0"/>
                <w:numId w:val="0"/>
              </w:numPr>
              <w:rPr>
                <w:rFonts w:cs="Arial"/>
              </w:rPr>
            </w:pPr>
            <w:r w:rsidRPr="00F91FD1">
              <w:rPr>
                <w:rFonts w:cs="Arial"/>
              </w:rPr>
              <w:t>7914</w:t>
            </w:r>
          </w:p>
        </w:tc>
        <w:tc>
          <w:tcPr>
            <w:tcW w:w="1443" w:type="dxa"/>
          </w:tcPr>
          <w:p w14:paraId="3A7CC6FE" w14:textId="77777777" w:rsidR="00F91FD1" w:rsidRPr="00F91FD1" w:rsidRDefault="00F91FD1" w:rsidP="00645226">
            <w:pPr>
              <w:pStyle w:val="ListParagraph"/>
              <w:numPr>
                <w:ilvl w:val="0"/>
                <w:numId w:val="0"/>
              </w:numPr>
              <w:rPr>
                <w:rFonts w:cs="Arial"/>
              </w:rPr>
            </w:pPr>
            <w:r w:rsidRPr="00F91FD1">
              <w:rPr>
                <w:rFonts w:cs="Arial"/>
              </w:rPr>
              <w:t>7041</w:t>
            </w:r>
          </w:p>
        </w:tc>
        <w:tc>
          <w:tcPr>
            <w:tcW w:w="1697" w:type="dxa"/>
          </w:tcPr>
          <w:p w14:paraId="5FEAC23B" w14:textId="77777777" w:rsidR="00F91FD1" w:rsidRPr="00F91FD1" w:rsidRDefault="00F91FD1" w:rsidP="00645226">
            <w:pPr>
              <w:pStyle w:val="ListParagraph"/>
              <w:numPr>
                <w:ilvl w:val="0"/>
                <w:numId w:val="0"/>
              </w:numPr>
              <w:rPr>
                <w:rFonts w:cs="Arial"/>
              </w:rPr>
            </w:pPr>
            <w:r w:rsidRPr="00F91FD1">
              <w:rPr>
                <w:rFonts w:cs="Arial"/>
              </w:rPr>
              <w:t>89%</w:t>
            </w:r>
          </w:p>
        </w:tc>
      </w:tr>
      <w:tr w:rsidR="00F91FD1" w:rsidRPr="00F91FD1" w14:paraId="46839D3D" w14:textId="77777777" w:rsidTr="00645226">
        <w:trPr>
          <w:trHeight w:val="751"/>
        </w:trPr>
        <w:tc>
          <w:tcPr>
            <w:tcW w:w="1763" w:type="dxa"/>
          </w:tcPr>
          <w:p w14:paraId="0D17DC93" w14:textId="77777777" w:rsidR="00F91FD1" w:rsidRPr="00F91FD1" w:rsidRDefault="00F91FD1" w:rsidP="00645226">
            <w:pPr>
              <w:pStyle w:val="ListParagraph"/>
              <w:numPr>
                <w:ilvl w:val="0"/>
                <w:numId w:val="0"/>
              </w:numPr>
              <w:rPr>
                <w:rFonts w:cs="Arial"/>
                <w:b/>
                <w:bCs/>
              </w:rPr>
            </w:pPr>
            <w:r w:rsidRPr="00F91FD1">
              <w:rPr>
                <w:rFonts w:cs="Arial"/>
                <w:b/>
                <w:bCs/>
              </w:rPr>
              <w:t>Fire safety inspections (alarms etc.)</w:t>
            </w:r>
          </w:p>
        </w:tc>
        <w:tc>
          <w:tcPr>
            <w:tcW w:w="1794" w:type="dxa"/>
          </w:tcPr>
          <w:p w14:paraId="6775A0F5" w14:textId="77777777" w:rsidR="00F91FD1" w:rsidRPr="00F91FD1" w:rsidRDefault="00F91FD1" w:rsidP="00645226">
            <w:pPr>
              <w:pStyle w:val="ListParagraph"/>
              <w:numPr>
                <w:ilvl w:val="0"/>
                <w:numId w:val="0"/>
              </w:numPr>
              <w:rPr>
                <w:rFonts w:cs="Arial"/>
              </w:rPr>
            </w:pPr>
            <w:r w:rsidRPr="00F91FD1">
              <w:rPr>
                <w:rFonts w:cs="Arial"/>
              </w:rPr>
              <w:t>Pyrotec (External partner)</w:t>
            </w:r>
          </w:p>
        </w:tc>
        <w:tc>
          <w:tcPr>
            <w:tcW w:w="1952" w:type="dxa"/>
          </w:tcPr>
          <w:p w14:paraId="26ACC1A1" w14:textId="77777777" w:rsidR="00F91FD1" w:rsidRPr="00F91FD1" w:rsidRDefault="00F91FD1" w:rsidP="00645226">
            <w:pPr>
              <w:pStyle w:val="ListParagraph"/>
              <w:numPr>
                <w:ilvl w:val="0"/>
                <w:numId w:val="0"/>
              </w:numPr>
              <w:rPr>
                <w:rFonts w:cs="Arial"/>
              </w:rPr>
            </w:pPr>
            <w:r w:rsidRPr="00F91FD1">
              <w:rPr>
                <w:rFonts w:cs="Arial"/>
              </w:rPr>
              <w:t>311</w:t>
            </w:r>
          </w:p>
        </w:tc>
        <w:tc>
          <w:tcPr>
            <w:tcW w:w="1443" w:type="dxa"/>
          </w:tcPr>
          <w:p w14:paraId="4C8D032C" w14:textId="77777777" w:rsidR="00F91FD1" w:rsidRPr="00F91FD1" w:rsidRDefault="00F91FD1" w:rsidP="00645226">
            <w:pPr>
              <w:pStyle w:val="ListParagraph"/>
              <w:numPr>
                <w:ilvl w:val="0"/>
                <w:numId w:val="0"/>
              </w:numPr>
              <w:rPr>
                <w:rFonts w:cs="Arial"/>
              </w:rPr>
            </w:pPr>
            <w:r w:rsidRPr="00F91FD1">
              <w:rPr>
                <w:rFonts w:cs="Arial"/>
              </w:rPr>
              <w:t>311</w:t>
            </w:r>
          </w:p>
        </w:tc>
        <w:tc>
          <w:tcPr>
            <w:tcW w:w="1697" w:type="dxa"/>
          </w:tcPr>
          <w:p w14:paraId="58BF85FA" w14:textId="77777777" w:rsidR="00F91FD1" w:rsidRPr="00F91FD1" w:rsidRDefault="00F91FD1" w:rsidP="00645226">
            <w:pPr>
              <w:pStyle w:val="ListParagraph"/>
              <w:numPr>
                <w:ilvl w:val="0"/>
                <w:numId w:val="0"/>
              </w:numPr>
              <w:rPr>
                <w:rFonts w:cs="Arial"/>
              </w:rPr>
            </w:pPr>
            <w:r w:rsidRPr="00F91FD1">
              <w:rPr>
                <w:rFonts w:cs="Arial"/>
              </w:rPr>
              <w:t>100%</w:t>
            </w:r>
          </w:p>
        </w:tc>
      </w:tr>
      <w:tr w:rsidR="00F91FD1" w:rsidRPr="00F91FD1" w14:paraId="4D0BD8A3" w14:textId="77777777" w:rsidTr="00645226">
        <w:trPr>
          <w:trHeight w:val="970"/>
        </w:trPr>
        <w:tc>
          <w:tcPr>
            <w:tcW w:w="1763" w:type="dxa"/>
          </w:tcPr>
          <w:p w14:paraId="423409B2" w14:textId="77777777" w:rsidR="00F91FD1" w:rsidRPr="00F91FD1" w:rsidRDefault="00F91FD1" w:rsidP="00645226">
            <w:pPr>
              <w:pStyle w:val="ListParagraph"/>
              <w:numPr>
                <w:ilvl w:val="0"/>
                <w:numId w:val="0"/>
              </w:numPr>
              <w:rPr>
                <w:rFonts w:cs="Arial"/>
                <w:b/>
                <w:bCs/>
              </w:rPr>
            </w:pPr>
            <w:r w:rsidRPr="00F91FD1">
              <w:rPr>
                <w:rFonts w:cs="Arial"/>
                <w:b/>
                <w:bCs/>
              </w:rPr>
              <w:t>Water safety (ppm’s, tank inspections, risk assessment)</w:t>
            </w:r>
          </w:p>
        </w:tc>
        <w:tc>
          <w:tcPr>
            <w:tcW w:w="1794" w:type="dxa"/>
          </w:tcPr>
          <w:p w14:paraId="6164D804" w14:textId="77777777" w:rsidR="00F91FD1" w:rsidRPr="00F91FD1" w:rsidRDefault="00F91FD1" w:rsidP="00645226">
            <w:pPr>
              <w:pStyle w:val="ListParagraph"/>
              <w:numPr>
                <w:ilvl w:val="0"/>
                <w:numId w:val="0"/>
              </w:numPr>
              <w:rPr>
                <w:rFonts w:cs="Arial"/>
              </w:rPr>
            </w:pPr>
            <w:r w:rsidRPr="00F91FD1">
              <w:rPr>
                <w:rFonts w:cs="Arial"/>
              </w:rPr>
              <w:t>SMS Environmental (External partner)</w:t>
            </w:r>
          </w:p>
        </w:tc>
        <w:tc>
          <w:tcPr>
            <w:tcW w:w="1952" w:type="dxa"/>
          </w:tcPr>
          <w:p w14:paraId="74BFEFEF" w14:textId="77777777" w:rsidR="00F91FD1" w:rsidRPr="00F91FD1" w:rsidRDefault="00F91FD1" w:rsidP="00645226">
            <w:pPr>
              <w:pStyle w:val="ListParagraph"/>
              <w:numPr>
                <w:ilvl w:val="0"/>
                <w:numId w:val="0"/>
              </w:numPr>
              <w:rPr>
                <w:rFonts w:cs="Arial"/>
              </w:rPr>
            </w:pPr>
            <w:r w:rsidRPr="00F91FD1">
              <w:rPr>
                <w:rFonts w:cs="Arial"/>
              </w:rPr>
              <w:t>615</w:t>
            </w:r>
          </w:p>
        </w:tc>
        <w:tc>
          <w:tcPr>
            <w:tcW w:w="1443" w:type="dxa"/>
          </w:tcPr>
          <w:p w14:paraId="0264A5E7" w14:textId="77777777" w:rsidR="00F91FD1" w:rsidRPr="00F91FD1" w:rsidRDefault="00F91FD1" w:rsidP="00645226">
            <w:pPr>
              <w:pStyle w:val="ListParagraph"/>
              <w:numPr>
                <w:ilvl w:val="0"/>
                <w:numId w:val="0"/>
              </w:numPr>
              <w:rPr>
                <w:rFonts w:cs="Arial"/>
              </w:rPr>
            </w:pPr>
            <w:r w:rsidRPr="00F91FD1">
              <w:rPr>
                <w:rFonts w:cs="Arial"/>
              </w:rPr>
              <w:t>615</w:t>
            </w:r>
          </w:p>
        </w:tc>
        <w:tc>
          <w:tcPr>
            <w:tcW w:w="1697" w:type="dxa"/>
          </w:tcPr>
          <w:p w14:paraId="6A3D4EFB" w14:textId="77777777" w:rsidR="00F91FD1" w:rsidRPr="00F91FD1" w:rsidRDefault="00F91FD1" w:rsidP="00645226">
            <w:pPr>
              <w:pStyle w:val="ListParagraph"/>
              <w:numPr>
                <w:ilvl w:val="0"/>
                <w:numId w:val="0"/>
              </w:numPr>
              <w:rPr>
                <w:rFonts w:cs="Arial"/>
              </w:rPr>
            </w:pPr>
            <w:r w:rsidRPr="00F91FD1">
              <w:rPr>
                <w:rFonts w:cs="Arial"/>
              </w:rPr>
              <w:t>100%</w:t>
            </w:r>
          </w:p>
        </w:tc>
      </w:tr>
      <w:tr w:rsidR="00F91FD1" w:rsidRPr="00F91FD1" w14:paraId="6CDF820C" w14:textId="77777777" w:rsidTr="00645226">
        <w:trPr>
          <w:trHeight w:val="634"/>
        </w:trPr>
        <w:tc>
          <w:tcPr>
            <w:tcW w:w="1763" w:type="dxa"/>
          </w:tcPr>
          <w:p w14:paraId="5A82D3CF" w14:textId="77777777" w:rsidR="00F91FD1" w:rsidRPr="00F91FD1" w:rsidRDefault="00F91FD1" w:rsidP="00645226">
            <w:pPr>
              <w:pStyle w:val="ListParagraph"/>
              <w:numPr>
                <w:ilvl w:val="0"/>
                <w:numId w:val="0"/>
              </w:numPr>
              <w:rPr>
                <w:rFonts w:cs="Arial"/>
                <w:b/>
                <w:bCs/>
              </w:rPr>
            </w:pPr>
            <w:r w:rsidRPr="00F91FD1">
              <w:rPr>
                <w:rFonts w:cs="Arial"/>
                <w:b/>
                <w:bCs/>
              </w:rPr>
              <w:t>Asbestos surveys and re-inspections</w:t>
            </w:r>
          </w:p>
        </w:tc>
        <w:tc>
          <w:tcPr>
            <w:tcW w:w="1794" w:type="dxa"/>
          </w:tcPr>
          <w:p w14:paraId="680489EF" w14:textId="77777777" w:rsidR="00F91FD1" w:rsidRPr="00F91FD1" w:rsidRDefault="00F91FD1" w:rsidP="00645226">
            <w:pPr>
              <w:pStyle w:val="ListParagraph"/>
              <w:numPr>
                <w:ilvl w:val="0"/>
                <w:numId w:val="0"/>
              </w:numPr>
              <w:rPr>
                <w:rFonts w:cs="Arial"/>
              </w:rPr>
            </w:pPr>
            <w:r w:rsidRPr="00F91FD1">
              <w:rPr>
                <w:rFonts w:cs="Arial"/>
              </w:rPr>
              <w:t>Asbestos Consultants Europe (ACE) (External partner)</w:t>
            </w:r>
          </w:p>
        </w:tc>
        <w:tc>
          <w:tcPr>
            <w:tcW w:w="1952" w:type="dxa"/>
          </w:tcPr>
          <w:p w14:paraId="112C7895" w14:textId="77777777" w:rsidR="00F91FD1" w:rsidRPr="00F91FD1" w:rsidRDefault="00F91FD1" w:rsidP="00645226">
            <w:pPr>
              <w:pStyle w:val="ListParagraph"/>
              <w:numPr>
                <w:ilvl w:val="0"/>
                <w:numId w:val="0"/>
              </w:numPr>
              <w:rPr>
                <w:rFonts w:cs="Arial"/>
              </w:rPr>
            </w:pPr>
            <w:r w:rsidRPr="00F91FD1">
              <w:rPr>
                <w:rFonts w:cs="Arial"/>
              </w:rPr>
              <w:t>615</w:t>
            </w:r>
          </w:p>
        </w:tc>
        <w:tc>
          <w:tcPr>
            <w:tcW w:w="1443" w:type="dxa"/>
          </w:tcPr>
          <w:p w14:paraId="721AAF0A" w14:textId="77777777" w:rsidR="00F91FD1" w:rsidRPr="00F91FD1" w:rsidRDefault="00F91FD1" w:rsidP="00645226">
            <w:pPr>
              <w:pStyle w:val="ListParagraph"/>
              <w:numPr>
                <w:ilvl w:val="0"/>
                <w:numId w:val="0"/>
              </w:numPr>
              <w:rPr>
                <w:rFonts w:cs="Arial"/>
              </w:rPr>
            </w:pPr>
            <w:r w:rsidRPr="00F91FD1">
              <w:rPr>
                <w:rFonts w:cs="Arial"/>
              </w:rPr>
              <w:t>615</w:t>
            </w:r>
          </w:p>
        </w:tc>
        <w:tc>
          <w:tcPr>
            <w:tcW w:w="1697" w:type="dxa"/>
          </w:tcPr>
          <w:p w14:paraId="04B9F458" w14:textId="77777777" w:rsidR="00F91FD1" w:rsidRPr="00F91FD1" w:rsidRDefault="00F91FD1" w:rsidP="00645226">
            <w:pPr>
              <w:pStyle w:val="ListParagraph"/>
              <w:numPr>
                <w:ilvl w:val="0"/>
                <w:numId w:val="0"/>
              </w:numPr>
              <w:rPr>
                <w:rFonts w:cs="Arial"/>
              </w:rPr>
            </w:pPr>
            <w:r w:rsidRPr="00F91FD1">
              <w:rPr>
                <w:rFonts w:cs="Arial"/>
              </w:rPr>
              <w:t>100%</w:t>
            </w:r>
          </w:p>
        </w:tc>
      </w:tr>
      <w:tr w:rsidR="00F91FD1" w:rsidRPr="00F91FD1" w14:paraId="47A968D9" w14:textId="77777777" w:rsidTr="00645226">
        <w:trPr>
          <w:trHeight w:val="146"/>
        </w:trPr>
        <w:tc>
          <w:tcPr>
            <w:tcW w:w="1763" w:type="dxa"/>
          </w:tcPr>
          <w:p w14:paraId="558CFB65" w14:textId="77777777" w:rsidR="00F91FD1" w:rsidRPr="00F91FD1" w:rsidRDefault="00F91FD1" w:rsidP="00645226">
            <w:pPr>
              <w:pStyle w:val="ListParagraph"/>
              <w:numPr>
                <w:ilvl w:val="0"/>
                <w:numId w:val="0"/>
              </w:numPr>
              <w:rPr>
                <w:rFonts w:cs="Arial"/>
                <w:b/>
                <w:bCs/>
              </w:rPr>
            </w:pPr>
            <w:r w:rsidRPr="00F91FD1">
              <w:rPr>
                <w:rFonts w:cs="Arial"/>
                <w:b/>
                <w:bCs/>
              </w:rPr>
              <w:t>Lift servicing and maintenance</w:t>
            </w:r>
          </w:p>
        </w:tc>
        <w:tc>
          <w:tcPr>
            <w:tcW w:w="1794" w:type="dxa"/>
          </w:tcPr>
          <w:p w14:paraId="1C954768" w14:textId="77777777" w:rsidR="00F91FD1" w:rsidRPr="00F91FD1" w:rsidRDefault="00F91FD1" w:rsidP="00645226">
            <w:pPr>
              <w:pStyle w:val="ListParagraph"/>
              <w:numPr>
                <w:ilvl w:val="0"/>
                <w:numId w:val="0"/>
              </w:numPr>
              <w:rPr>
                <w:rFonts w:cs="Arial"/>
              </w:rPr>
            </w:pPr>
            <w:r w:rsidRPr="00F91FD1">
              <w:rPr>
                <w:rFonts w:cs="Arial"/>
              </w:rPr>
              <w:t>Cotswold Lifts (External partner)</w:t>
            </w:r>
          </w:p>
        </w:tc>
        <w:tc>
          <w:tcPr>
            <w:tcW w:w="1952" w:type="dxa"/>
          </w:tcPr>
          <w:p w14:paraId="25E121F9" w14:textId="77777777" w:rsidR="00F91FD1" w:rsidRPr="00F91FD1" w:rsidRDefault="00F91FD1" w:rsidP="00645226">
            <w:pPr>
              <w:pStyle w:val="ListParagraph"/>
              <w:numPr>
                <w:ilvl w:val="0"/>
                <w:numId w:val="0"/>
              </w:numPr>
              <w:rPr>
                <w:rFonts w:cs="Arial"/>
              </w:rPr>
            </w:pPr>
            <w:r w:rsidRPr="00F91FD1">
              <w:rPr>
                <w:rFonts w:cs="Arial"/>
              </w:rPr>
              <w:t>Passenger – 16</w:t>
            </w:r>
          </w:p>
          <w:p w14:paraId="48E101FB" w14:textId="77777777" w:rsidR="00F91FD1" w:rsidRPr="00F91FD1" w:rsidRDefault="00F91FD1" w:rsidP="00645226">
            <w:pPr>
              <w:pStyle w:val="ListParagraph"/>
              <w:numPr>
                <w:ilvl w:val="0"/>
                <w:numId w:val="0"/>
              </w:numPr>
              <w:rPr>
                <w:rFonts w:cs="Arial"/>
              </w:rPr>
            </w:pPr>
            <w:r w:rsidRPr="00F91FD1">
              <w:rPr>
                <w:rFonts w:cs="Arial"/>
              </w:rPr>
              <w:t>Stair Lifts - 328</w:t>
            </w:r>
          </w:p>
        </w:tc>
        <w:tc>
          <w:tcPr>
            <w:tcW w:w="1443" w:type="dxa"/>
          </w:tcPr>
          <w:p w14:paraId="7B15E0AF" w14:textId="77777777" w:rsidR="00F91FD1" w:rsidRPr="00F91FD1" w:rsidRDefault="00F91FD1" w:rsidP="00645226">
            <w:pPr>
              <w:pStyle w:val="ListParagraph"/>
              <w:numPr>
                <w:ilvl w:val="0"/>
                <w:numId w:val="0"/>
              </w:numPr>
              <w:rPr>
                <w:rFonts w:cs="Arial"/>
              </w:rPr>
            </w:pPr>
            <w:r w:rsidRPr="00F91FD1">
              <w:rPr>
                <w:rFonts w:cs="Arial"/>
              </w:rPr>
              <w:t>14</w:t>
            </w:r>
          </w:p>
          <w:p w14:paraId="11598600" w14:textId="77777777" w:rsidR="00F91FD1" w:rsidRPr="00F91FD1" w:rsidRDefault="00F91FD1" w:rsidP="00645226">
            <w:pPr>
              <w:pStyle w:val="ListParagraph"/>
              <w:numPr>
                <w:ilvl w:val="0"/>
                <w:numId w:val="0"/>
              </w:numPr>
              <w:rPr>
                <w:rFonts w:cs="Arial"/>
              </w:rPr>
            </w:pPr>
            <w:r w:rsidRPr="00F91FD1">
              <w:rPr>
                <w:rFonts w:cs="Arial"/>
              </w:rPr>
              <w:t>314</w:t>
            </w:r>
          </w:p>
        </w:tc>
        <w:tc>
          <w:tcPr>
            <w:tcW w:w="1697" w:type="dxa"/>
          </w:tcPr>
          <w:p w14:paraId="32765B2F" w14:textId="77777777" w:rsidR="00F91FD1" w:rsidRPr="00F91FD1" w:rsidRDefault="00F91FD1" w:rsidP="00645226">
            <w:pPr>
              <w:pStyle w:val="ListParagraph"/>
              <w:numPr>
                <w:ilvl w:val="0"/>
                <w:numId w:val="0"/>
              </w:numPr>
              <w:rPr>
                <w:rFonts w:cs="Arial"/>
              </w:rPr>
            </w:pPr>
            <w:r w:rsidRPr="00F91FD1">
              <w:rPr>
                <w:rFonts w:cs="Arial"/>
              </w:rPr>
              <w:t>88%</w:t>
            </w:r>
          </w:p>
          <w:p w14:paraId="0194E1DC" w14:textId="77777777" w:rsidR="00F91FD1" w:rsidRPr="00F91FD1" w:rsidRDefault="00F91FD1" w:rsidP="00645226">
            <w:pPr>
              <w:pStyle w:val="ListParagraph"/>
              <w:numPr>
                <w:ilvl w:val="0"/>
                <w:numId w:val="0"/>
              </w:numPr>
              <w:rPr>
                <w:rFonts w:cs="Arial"/>
              </w:rPr>
            </w:pPr>
            <w:r w:rsidRPr="00F91FD1">
              <w:rPr>
                <w:rFonts w:cs="Arial"/>
              </w:rPr>
              <w:t>96%</w:t>
            </w:r>
          </w:p>
        </w:tc>
      </w:tr>
      <w:tr w:rsidR="00F91FD1" w:rsidRPr="00F91FD1" w14:paraId="017BB14F" w14:textId="77777777" w:rsidTr="00645226">
        <w:trPr>
          <w:trHeight w:val="1393"/>
        </w:trPr>
        <w:tc>
          <w:tcPr>
            <w:tcW w:w="1763" w:type="dxa"/>
          </w:tcPr>
          <w:p w14:paraId="492821F4" w14:textId="77777777" w:rsidR="00F91FD1" w:rsidRPr="00F91FD1" w:rsidRDefault="00F91FD1" w:rsidP="00645226">
            <w:pPr>
              <w:pStyle w:val="ListParagraph"/>
              <w:numPr>
                <w:ilvl w:val="0"/>
                <w:numId w:val="0"/>
              </w:numPr>
              <w:rPr>
                <w:rFonts w:cs="Arial"/>
                <w:b/>
                <w:bCs/>
              </w:rPr>
            </w:pPr>
            <w:r w:rsidRPr="00F91FD1">
              <w:rPr>
                <w:rFonts w:cs="Arial"/>
                <w:b/>
                <w:bCs/>
              </w:rPr>
              <w:t>Lightning protection (annual inspection and maintenance)</w:t>
            </w:r>
          </w:p>
        </w:tc>
        <w:tc>
          <w:tcPr>
            <w:tcW w:w="1794" w:type="dxa"/>
          </w:tcPr>
          <w:p w14:paraId="23AB59C5" w14:textId="77777777" w:rsidR="00F91FD1" w:rsidRPr="00F91FD1" w:rsidRDefault="00F91FD1" w:rsidP="00645226">
            <w:pPr>
              <w:pStyle w:val="ListParagraph"/>
              <w:numPr>
                <w:ilvl w:val="0"/>
                <w:numId w:val="0"/>
              </w:numPr>
              <w:rPr>
                <w:rFonts w:cs="Arial"/>
              </w:rPr>
            </w:pPr>
            <w:r w:rsidRPr="00F91FD1">
              <w:rPr>
                <w:rFonts w:cs="Arial"/>
              </w:rPr>
              <w:t>Professional Technical Services Group (PTSG) (External partner)</w:t>
            </w:r>
          </w:p>
        </w:tc>
        <w:tc>
          <w:tcPr>
            <w:tcW w:w="1952" w:type="dxa"/>
          </w:tcPr>
          <w:p w14:paraId="7F9FA305" w14:textId="77777777" w:rsidR="00F91FD1" w:rsidRPr="00F91FD1" w:rsidRDefault="00F91FD1" w:rsidP="00645226">
            <w:pPr>
              <w:pStyle w:val="ListParagraph"/>
              <w:numPr>
                <w:ilvl w:val="0"/>
                <w:numId w:val="0"/>
              </w:numPr>
              <w:rPr>
                <w:rFonts w:cs="Arial"/>
              </w:rPr>
            </w:pPr>
          </w:p>
          <w:p w14:paraId="2A3DE975" w14:textId="77777777" w:rsidR="00F91FD1" w:rsidRPr="00F91FD1" w:rsidRDefault="00F91FD1" w:rsidP="00645226">
            <w:pPr>
              <w:pStyle w:val="ListParagraph"/>
              <w:numPr>
                <w:ilvl w:val="0"/>
                <w:numId w:val="0"/>
              </w:numPr>
              <w:rPr>
                <w:rFonts w:cs="Arial"/>
              </w:rPr>
            </w:pPr>
            <w:r w:rsidRPr="00F91FD1">
              <w:rPr>
                <w:rFonts w:cs="Arial"/>
              </w:rPr>
              <w:t>10</w:t>
            </w:r>
          </w:p>
        </w:tc>
        <w:tc>
          <w:tcPr>
            <w:tcW w:w="1443" w:type="dxa"/>
          </w:tcPr>
          <w:p w14:paraId="2432040C" w14:textId="77777777" w:rsidR="00F91FD1" w:rsidRPr="00F91FD1" w:rsidRDefault="00F91FD1" w:rsidP="00645226">
            <w:pPr>
              <w:pStyle w:val="ListParagraph"/>
              <w:numPr>
                <w:ilvl w:val="0"/>
                <w:numId w:val="0"/>
              </w:numPr>
              <w:rPr>
                <w:rFonts w:cs="Arial"/>
              </w:rPr>
            </w:pPr>
          </w:p>
          <w:p w14:paraId="2DD21255" w14:textId="77777777" w:rsidR="00F91FD1" w:rsidRPr="00F91FD1" w:rsidRDefault="00F91FD1" w:rsidP="00645226">
            <w:pPr>
              <w:pStyle w:val="ListParagraph"/>
              <w:numPr>
                <w:ilvl w:val="0"/>
                <w:numId w:val="0"/>
              </w:numPr>
              <w:rPr>
                <w:rFonts w:cs="Arial"/>
              </w:rPr>
            </w:pPr>
            <w:r w:rsidRPr="00F91FD1">
              <w:rPr>
                <w:rFonts w:cs="Arial"/>
              </w:rPr>
              <w:t>10</w:t>
            </w:r>
          </w:p>
        </w:tc>
        <w:tc>
          <w:tcPr>
            <w:tcW w:w="1697" w:type="dxa"/>
          </w:tcPr>
          <w:p w14:paraId="6F1615C7" w14:textId="77777777" w:rsidR="00F91FD1" w:rsidRPr="00F91FD1" w:rsidRDefault="00F91FD1" w:rsidP="00645226">
            <w:pPr>
              <w:pStyle w:val="ListParagraph"/>
              <w:numPr>
                <w:ilvl w:val="0"/>
                <w:numId w:val="0"/>
              </w:numPr>
              <w:rPr>
                <w:rFonts w:cs="Arial"/>
              </w:rPr>
            </w:pPr>
          </w:p>
          <w:p w14:paraId="3D4E5766" w14:textId="77777777" w:rsidR="00F91FD1" w:rsidRPr="00F91FD1" w:rsidRDefault="00F91FD1" w:rsidP="00645226">
            <w:pPr>
              <w:pStyle w:val="ListParagraph"/>
              <w:numPr>
                <w:ilvl w:val="0"/>
                <w:numId w:val="0"/>
              </w:numPr>
              <w:rPr>
                <w:rFonts w:cs="Arial"/>
              </w:rPr>
            </w:pPr>
            <w:r w:rsidRPr="00F91FD1">
              <w:rPr>
                <w:rFonts w:cs="Arial"/>
              </w:rPr>
              <w:t>100%</w:t>
            </w:r>
          </w:p>
        </w:tc>
      </w:tr>
    </w:tbl>
    <w:p w14:paraId="28CC6588" w14:textId="4BF0530F" w:rsidR="00F91FD1" w:rsidRDefault="00F91FD1" w:rsidP="00F91FD1">
      <w:pPr>
        <w:pStyle w:val="ListParagraph"/>
        <w:numPr>
          <w:ilvl w:val="0"/>
          <w:numId w:val="0"/>
        </w:numPr>
        <w:ind w:left="360"/>
      </w:pPr>
    </w:p>
    <w:p w14:paraId="5DAF4382" w14:textId="3698BD67" w:rsidR="00F91FD1" w:rsidRPr="00F91FD1" w:rsidRDefault="00F91FD1" w:rsidP="00244485">
      <w:pPr>
        <w:pStyle w:val="ListParagraph"/>
        <w:ind w:left="360" w:hanging="360"/>
        <w:jc w:val="both"/>
        <w:rPr>
          <w:rFonts w:eastAsiaTheme="minorEastAsia" w:cs="Arial"/>
        </w:rPr>
      </w:pPr>
      <w:r w:rsidRPr="00F91FD1">
        <w:rPr>
          <w:rFonts w:eastAsiaTheme="minorEastAsia" w:cs="Arial"/>
        </w:rPr>
        <w:t xml:space="preserve">The above </w:t>
      </w:r>
      <w:r>
        <w:rPr>
          <w:rFonts w:eastAsiaTheme="minorEastAsia" w:cs="Arial"/>
        </w:rPr>
        <w:t>table</w:t>
      </w:r>
      <w:r w:rsidRPr="00F91FD1">
        <w:rPr>
          <w:rFonts w:eastAsiaTheme="minorEastAsia" w:cs="Arial"/>
        </w:rPr>
        <w:t xml:space="preserve"> reflects the Council</w:t>
      </w:r>
      <w:r>
        <w:rPr>
          <w:rFonts w:eastAsiaTheme="minorEastAsia" w:cs="Arial"/>
        </w:rPr>
        <w:t>’</w:t>
      </w:r>
      <w:r w:rsidRPr="00F91FD1">
        <w:rPr>
          <w:rFonts w:eastAsiaTheme="minorEastAsia" w:cs="Arial"/>
        </w:rPr>
        <w:t xml:space="preserve">s position on statutory testing and inspection programmes managed by Property Services. </w:t>
      </w:r>
      <w:bookmarkStart w:id="8" w:name="_Int_jaQPe6iA"/>
      <w:r w:rsidRPr="00F91FD1">
        <w:rPr>
          <w:rFonts w:eastAsiaTheme="minorEastAsia" w:cs="Arial"/>
        </w:rPr>
        <w:t>Overall</w:t>
      </w:r>
      <w:bookmarkEnd w:id="8"/>
      <w:r>
        <w:rPr>
          <w:rFonts w:eastAsiaTheme="minorEastAsia" w:cs="Arial"/>
        </w:rPr>
        <w:t>,</w:t>
      </w:r>
      <w:r w:rsidRPr="00F91FD1">
        <w:rPr>
          <w:rFonts w:eastAsiaTheme="minorEastAsia" w:cs="Arial"/>
        </w:rPr>
        <w:t xml:space="preserve"> it is a good result year to date and is consistent with ensuring a compliant status throughout the year. Those programmes showing less than 100% are </w:t>
      </w:r>
      <w:bookmarkStart w:id="9" w:name="_Int_OW8hG9uO"/>
      <w:r w:rsidRPr="00F91FD1">
        <w:rPr>
          <w:rFonts w:eastAsiaTheme="minorEastAsia" w:cs="Arial"/>
        </w:rPr>
        <w:t>mainly due</w:t>
      </w:r>
      <w:bookmarkEnd w:id="9"/>
      <w:r w:rsidRPr="00F91FD1">
        <w:rPr>
          <w:rFonts w:eastAsiaTheme="minorEastAsia" w:cs="Arial"/>
        </w:rPr>
        <w:t xml:space="preserve"> to access issues and these are proactively worked on to gain access with residents via the Resident Liaison Officers and our Tenancy Management Officers</w:t>
      </w:r>
      <w:r>
        <w:rPr>
          <w:rFonts w:eastAsiaTheme="minorEastAsia" w:cs="Arial"/>
        </w:rPr>
        <w:t>.</w:t>
      </w:r>
    </w:p>
    <w:p w14:paraId="172F5132" w14:textId="45D53082" w:rsidR="0040736F" w:rsidRPr="001356F1" w:rsidRDefault="00F91FD1" w:rsidP="004A6D2F">
      <w:pPr>
        <w:pStyle w:val="Heading1"/>
      </w:pPr>
      <w:r>
        <w:t>Current Health and Safety Related Work Project Programmes</w:t>
      </w:r>
    </w:p>
    <w:p w14:paraId="118886F5" w14:textId="73DB3A45" w:rsidR="00F91FD1" w:rsidRPr="00F91FD1" w:rsidRDefault="00F91FD1" w:rsidP="00244485">
      <w:pPr>
        <w:pStyle w:val="ListParagraph"/>
        <w:spacing w:after="0"/>
        <w:ind w:left="360" w:hanging="360"/>
        <w:jc w:val="both"/>
        <w:textAlignment w:val="baseline"/>
        <w:rPr>
          <w:rFonts w:cs="Arial"/>
          <w:lang w:val="en-US"/>
        </w:rPr>
      </w:pPr>
      <w:r w:rsidRPr="00F91FD1">
        <w:rPr>
          <w:rFonts w:cs="Arial"/>
        </w:rPr>
        <w:t>The focus for fire doors in high rise blocks has changed dramatically since the Grenfell tragedy, with a greater emphasis on fire doors (communal and flat entrance) meeting modern standards. As well as this, the newly introduced Building Safety Act 2022 has made significant changes to the way fire safety is regulated in Higher Risk Buildings. The provision of compliant fire doors is a significant part of this regime, providing assurance to residents that their building is safe from a fire perspective.</w:t>
      </w:r>
    </w:p>
    <w:p w14:paraId="3C574FB8" w14:textId="77777777" w:rsidR="00F91FD1" w:rsidRPr="00F91FD1" w:rsidRDefault="00F91FD1" w:rsidP="00F91FD1">
      <w:pPr>
        <w:pStyle w:val="ListParagraph"/>
        <w:numPr>
          <w:ilvl w:val="0"/>
          <w:numId w:val="0"/>
        </w:numPr>
        <w:spacing w:after="0"/>
        <w:ind w:left="360"/>
        <w:textAlignment w:val="baseline"/>
        <w:rPr>
          <w:rStyle w:val="normaltextrun"/>
          <w:rFonts w:cs="Arial"/>
          <w:lang w:val="en-US"/>
        </w:rPr>
      </w:pPr>
    </w:p>
    <w:p w14:paraId="7714794E" w14:textId="77628292" w:rsidR="00F91FD1" w:rsidRPr="00F91FD1" w:rsidRDefault="00F91FD1" w:rsidP="00244485">
      <w:pPr>
        <w:pStyle w:val="ListParagraph"/>
        <w:ind w:left="360" w:hanging="360"/>
        <w:jc w:val="both"/>
        <w:textAlignment w:val="baseline"/>
        <w:rPr>
          <w:rStyle w:val="normaltextrun"/>
          <w:rFonts w:cs="Arial"/>
          <w:lang w:val="en-US"/>
        </w:rPr>
      </w:pPr>
      <w:r w:rsidRPr="00F91FD1">
        <w:rPr>
          <w:rStyle w:val="normaltextrun"/>
          <w:rFonts w:cs="Arial"/>
          <w:lang w:val="en-US"/>
        </w:rPr>
        <w:lastRenderedPageBreak/>
        <w:t>As a result, a project is currently in progress to replace all flat entrance doors in our 5 Tower Blocks (over 18m) with solid timber FD30 doors, the project is around 40% complete and is being carried out by OCC’s internal contractor Oxford Direct Services (ODS) and is due to complete in 2024. The communal doors were replaced in 2021</w:t>
      </w:r>
      <w:r>
        <w:rPr>
          <w:rStyle w:val="normaltextrun"/>
          <w:rFonts w:cs="Arial"/>
          <w:lang w:val="en-US"/>
        </w:rPr>
        <w:t>.</w:t>
      </w:r>
    </w:p>
    <w:p w14:paraId="356ED238" w14:textId="336A4CEF" w:rsidR="00F91FD1" w:rsidRPr="00F91FD1" w:rsidRDefault="00F91FD1" w:rsidP="00244485">
      <w:pPr>
        <w:pStyle w:val="ListParagraph"/>
        <w:ind w:left="360" w:hanging="360"/>
        <w:jc w:val="both"/>
        <w:textAlignment w:val="baseline"/>
        <w:rPr>
          <w:rFonts w:cs="Arial"/>
          <w:sz w:val="20"/>
          <w:szCs w:val="20"/>
        </w:rPr>
      </w:pPr>
      <w:r w:rsidRPr="00F91FD1">
        <w:rPr>
          <w:rStyle w:val="normaltextrun"/>
          <w:rFonts w:cs="Arial"/>
          <w:lang w:val="en-US"/>
        </w:rPr>
        <w:t>Oxford City Council also commissioned a Fire Engineers inspection and report for the tower blocks which was completed this year (2023). This provided a greater understanding of the risks regarding Fire Safety in the high-rise blocks and actions required from it</w:t>
      </w:r>
      <w:r>
        <w:rPr>
          <w:rStyle w:val="normaltextrun"/>
          <w:rFonts w:cs="Arial"/>
          <w:lang w:val="en-US"/>
        </w:rPr>
        <w:t>.</w:t>
      </w:r>
      <w:r w:rsidRPr="00F91FD1">
        <w:rPr>
          <w:rStyle w:val="eop"/>
          <w:rFonts w:cs="Arial"/>
        </w:rPr>
        <w:t> </w:t>
      </w:r>
    </w:p>
    <w:p w14:paraId="2CF9E067" w14:textId="77777777" w:rsidR="00F91FD1" w:rsidRPr="00F91FD1" w:rsidRDefault="00F91FD1" w:rsidP="00244485">
      <w:pPr>
        <w:pStyle w:val="ListParagraph"/>
        <w:ind w:left="360" w:hanging="360"/>
        <w:jc w:val="both"/>
        <w:textAlignment w:val="baseline"/>
        <w:rPr>
          <w:rFonts w:cs="Arial"/>
          <w:sz w:val="20"/>
          <w:szCs w:val="20"/>
        </w:rPr>
      </w:pPr>
      <w:r w:rsidRPr="00F91FD1">
        <w:rPr>
          <w:rStyle w:val="normaltextrun"/>
          <w:rFonts w:cs="Arial"/>
          <w:lang w:val="en-US"/>
        </w:rPr>
        <w:t>The key actions arising from the report are being worked through and addressed via the Building Safety Manager and the relevant contractors.</w:t>
      </w:r>
      <w:r w:rsidRPr="00F91FD1">
        <w:rPr>
          <w:rStyle w:val="eop"/>
          <w:rFonts w:cs="Arial"/>
        </w:rPr>
        <w:t> </w:t>
      </w:r>
    </w:p>
    <w:p w14:paraId="323995B1" w14:textId="77777777" w:rsidR="00F91FD1" w:rsidRPr="00F91FD1" w:rsidRDefault="00F91FD1" w:rsidP="00244485">
      <w:pPr>
        <w:pStyle w:val="ListParagraph"/>
        <w:ind w:left="360" w:hanging="360"/>
        <w:jc w:val="both"/>
        <w:textAlignment w:val="baseline"/>
        <w:rPr>
          <w:rFonts w:cs="Arial"/>
          <w:sz w:val="20"/>
          <w:szCs w:val="20"/>
        </w:rPr>
      </w:pPr>
      <w:r w:rsidRPr="00F91FD1">
        <w:rPr>
          <w:rStyle w:val="normaltextrun"/>
          <w:rFonts w:cs="Arial"/>
          <w:lang w:val="en-US"/>
        </w:rPr>
        <w:t>The project included, as key elements, replacement of all cladding systems with approved materials under the new regulations and guidance, installation of sprinkler systems and the replacement and upgrading of fire alarms.</w:t>
      </w:r>
      <w:r w:rsidRPr="00F91FD1">
        <w:rPr>
          <w:rStyle w:val="eop"/>
          <w:rFonts w:cs="Arial"/>
        </w:rPr>
        <w:t> </w:t>
      </w:r>
    </w:p>
    <w:p w14:paraId="67BA69BE" w14:textId="77777777" w:rsidR="00F91FD1" w:rsidRPr="00F91FD1" w:rsidRDefault="00F91FD1" w:rsidP="00244485">
      <w:pPr>
        <w:pStyle w:val="ListParagraph"/>
        <w:ind w:left="360" w:hanging="360"/>
        <w:jc w:val="both"/>
        <w:textAlignment w:val="baseline"/>
        <w:rPr>
          <w:rFonts w:cs="Arial"/>
          <w:sz w:val="20"/>
          <w:szCs w:val="20"/>
        </w:rPr>
      </w:pPr>
      <w:r w:rsidRPr="00F91FD1">
        <w:rPr>
          <w:rStyle w:val="normaltextrun"/>
          <w:rFonts w:cs="Arial"/>
          <w:lang w:val="en-US"/>
        </w:rPr>
        <w:t xml:space="preserve">Unfortunately, due to the quality issues with the cladding installation, the works are ongoing with remedial works required.  </w:t>
      </w:r>
      <w:bookmarkStart w:id="10" w:name="_Int_dJfMEw2V"/>
      <w:r w:rsidRPr="00F91FD1">
        <w:rPr>
          <w:rStyle w:val="normaltextrun"/>
          <w:rFonts w:cs="Arial"/>
          <w:lang w:val="en-US"/>
        </w:rPr>
        <w:t>OCC</w:t>
      </w:r>
      <w:bookmarkEnd w:id="10"/>
      <w:r w:rsidRPr="00F91FD1">
        <w:rPr>
          <w:rStyle w:val="normaltextrun"/>
          <w:rFonts w:cs="Arial"/>
          <w:lang w:val="en-US"/>
        </w:rPr>
        <w:t xml:space="preserve"> works closely with the Oxfordshire Fire and Rescue Service (OFRS), meeting regularly to discuss and review risk. OFRS have outlined on many occasions that they are very satisfied with the improvements to Fire Safety in OCC’s High-rise blocks.  </w:t>
      </w:r>
      <w:r w:rsidRPr="00F91FD1">
        <w:rPr>
          <w:rStyle w:val="eop"/>
          <w:rFonts w:cs="Arial"/>
        </w:rPr>
        <w:t> </w:t>
      </w:r>
    </w:p>
    <w:p w14:paraId="2197BFA2" w14:textId="77777777" w:rsidR="00F91FD1" w:rsidRPr="00F91FD1" w:rsidRDefault="00F91FD1" w:rsidP="00244485">
      <w:pPr>
        <w:pStyle w:val="ListParagraph"/>
        <w:ind w:left="360" w:hanging="360"/>
        <w:jc w:val="both"/>
        <w:textAlignment w:val="baseline"/>
        <w:rPr>
          <w:rFonts w:cs="Arial"/>
          <w:sz w:val="18"/>
          <w:szCs w:val="18"/>
        </w:rPr>
      </w:pPr>
      <w:r w:rsidRPr="00F91FD1">
        <w:rPr>
          <w:rStyle w:val="normaltextrun"/>
          <w:rFonts w:cs="Arial"/>
          <w:lang w:val="en-US"/>
        </w:rPr>
        <w:t>The Fire Service have stated that in their view the current position of fire safety in OCC’s blocks is better than ever before, with non-combustible cladding, sprinkler systems and fire alarms installed through this project. Whilst the project continues to be completed, OCC is also looking forward to further improvements and additions including further upgrading of the alarm systems with controlled evacuation ability with OFRS. Funding for this is budgeted in 2024 when we expect to begin that project. </w:t>
      </w:r>
      <w:r w:rsidRPr="00F91FD1">
        <w:rPr>
          <w:rStyle w:val="eop"/>
          <w:rFonts w:cs="Arial"/>
        </w:rPr>
        <w:t> </w:t>
      </w:r>
    </w:p>
    <w:p w14:paraId="0D4AA443" w14:textId="4E19D6D8" w:rsidR="00E87F7A" w:rsidRPr="00244485" w:rsidRDefault="00F91FD1" w:rsidP="00244485">
      <w:pPr>
        <w:pStyle w:val="ListParagraph"/>
        <w:ind w:left="360" w:hanging="360"/>
        <w:jc w:val="both"/>
        <w:rPr>
          <w:rFonts w:cs="Arial"/>
        </w:rPr>
      </w:pPr>
      <w:r w:rsidRPr="00F91FD1">
        <w:rPr>
          <w:rFonts w:cs="Arial"/>
        </w:rPr>
        <w:t>We are also working through actions identified from our fire risk assessments carried out on low rise blocks, putting together programmes of work for internal and external contractors.</w:t>
      </w:r>
    </w:p>
    <w:p w14:paraId="038C618E" w14:textId="4B77DB98" w:rsidR="0040736F" w:rsidRPr="001356F1" w:rsidRDefault="00F91FD1" w:rsidP="004A6D2F">
      <w:pPr>
        <w:pStyle w:val="Heading1"/>
      </w:pPr>
      <w:r>
        <w:t>Reinforced Autoclaved Aerated Concrete (RAAC) Concerns</w:t>
      </w:r>
    </w:p>
    <w:p w14:paraId="64E6F327" w14:textId="1DBDCC97" w:rsidR="00F91FD1" w:rsidRDefault="00F91FD1" w:rsidP="00244485">
      <w:pPr>
        <w:pStyle w:val="ListParagraph"/>
        <w:shd w:val="clear" w:color="auto" w:fill="FFFFFF" w:themeFill="background1"/>
        <w:ind w:left="360" w:hanging="360"/>
        <w:jc w:val="both"/>
        <w:rPr>
          <w:rFonts w:cs="Arial"/>
          <w:bdr w:val="none" w:sz="0" w:space="0" w:color="auto" w:frame="1"/>
        </w:rPr>
      </w:pPr>
      <w:r w:rsidRPr="00F91FD1">
        <w:rPr>
          <w:rFonts w:cs="Arial"/>
          <w:bdr w:val="none" w:sz="0" w:space="0" w:color="auto" w:frame="1"/>
        </w:rPr>
        <w:t xml:space="preserve">There </w:t>
      </w:r>
      <w:r w:rsidRPr="00F91FD1">
        <w:rPr>
          <w:rFonts w:cs="Arial"/>
        </w:rPr>
        <w:t xml:space="preserve">are </w:t>
      </w:r>
      <w:bookmarkStart w:id="11" w:name="_Int_tEM7RZjv"/>
      <w:r w:rsidRPr="00F91FD1">
        <w:rPr>
          <w:rFonts w:cs="Arial"/>
        </w:rPr>
        <w:t>a number of</w:t>
      </w:r>
      <w:bookmarkEnd w:id="11"/>
      <w:r w:rsidRPr="00F91FD1">
        <w:rPr>
          <w:rFonts w:cs="Arial"/>
        </w:rPr>
        <w:t xml:space="preserve"> blocks which are being surveyed to ensure RAAC is not present, however based on guidance and advice it is unlikely that RAAC was used in the residential properties, but as stated we are checking the possible property types to be able to categorically indicate the non-presence of RAAC and provide</w:t>
      </w:r>
      <w:r w:rsidRPr="00F91FD1">
        <w:rPr>
          <w:rFonts w:cs="Arial"/>
          <w:bdr w:val="none" w:sz="0" w:space="0" w:color="auto" w:frame="1"/>
        </w:rPr>
        <w:t xml:space="preserve"> assurance to residents. </w:t>
      </w:r>
    </w:p>
    <w:p w14:paraId="155E7162" w14:textId="4288D240" w:rsidR="00F91FD1" w:rsidRPr="00F91FD1" w:rsidRDefault="00F91FD1" w:rsidP="00244485">
      <w:pPr>
        <w:pStyle w:val="ListParagraph"/>
        <w:ind w:left="360" w:hanging="360"/>
        <w:jc w:val="both"/>
        <w:rPr>
          <w:rFonts w:cs="Arial"/>
        </w:rPr>
      </w:pPr>
      <w:r w:rsidRPr="00F91FD1">
        <w:rPr>
          <w:rFonts w:cs="Arial"/>
        </w:rPr>
        <w:t>The high-rise tower blocks are currently having a structural survey in progress and whilst RAAC was not specifically included in the survey commission, the structural engineering company (Stantec) have indicated</w:t>
      </w:r>
      <w:r w:rsidRPr="00F91FD1">
        <w:rPr>
          <w:rFonts w:cs="Arial"/>
          <w:bdr w:val="none" w:sz="0" w:space="0" w:color="auto" w:frame="1"/>
        </w:rPr>
        <w:t xml:space="preserve"> that they believe it is not present</w:t>
      </w:r>
      <w:r w:rsidR="00244485">
        <w:rPr>
          <w:rFonts w:cs="Arial"/>
          <w:bdr w:val="none" w:sz="0" w:space="0" w:color="auto" w:frame="1"/>
        </w:rPr>
        <w:t>.</w:t>
      </w:r>
    </w:p>
    <w:p w14:paraId="4D19F403" w14:textId="53B6A29C" w:rsidR="002329CF" w:rsidRPr="001356F1" w:rsidRDefault="00F91FD1" w:rsidP="004A6D2F">
      <w:pPr>
        <w:pStyle w:val="Heading1"/>
      </w:pPr>
      <w:r>
        <w:t>Damp and Mould</w:t>
      </w:r>
    </w:p>
    <w:p w14:paraId="447A878F" w14:textId="4DF41E6A" w:rsidR="00F91FD1" w:rsidRPr="00F91FD1" w:rsidRDefault="00F91FD1" w:rsidP="00244485">
      <w:pPr>
        <w:pStyle w:val="ListParagraph"/>
        <w:ind w:left="360" w:hanging="360"/>
        <w:jc w:val="both"/>
        <w:rPr>
          <w:rFonts w:cs="Arial"/>
        </w:rPr>
      </w:pPr>
      <w:r w:rsidRPr="00F91FD1">
        <w:rPr>
          <w:rFonts w:cs="Arial"/>
        </w:rPr>
        <w:t>In response to recent events</w:t>
      </w:r>
      <w:r w:rsidR="00C62525">
        <w:rPr>
          <w:rFonts w:cs="Arial"/>
        </w:rPr>
        <w:t>,</w:t>
      </w:r>
      <w:r w:rsidRPr="00F91FD1">
        <w:rPr>
          <w:rFonts w:cs="Arial"/>
        </w:rPr>
        <w:t xml:space="preserve"> O</w:t>
      </w:r>
      <w:r w:rsidR="00C62525">
        <w:rPr>
          <w:rFonts w:cs="Arial"/>
        </w:rPr>
        <w:t xml:space="preserve">xford </w:t>
      </w:r>
      <w:r w:rsidRPr="00F91FD1">
        <w:rPr>
          <w:rFonts w:cs="Arial"/>
        </w:rPr>
        <w:t>C</w:t>
      </w:r>
      <w:r w:rsidR="00C62525">
        <w:rPr>
          <w:rFonts w:cs="Arial"/>
        </w:rPr>
        <w:t xml:space="preserve">ity </w:t>
      </w:r>
      <w:r w:rsidRPr="00F91FD1">
        <w:rPr>
          <w:rFonts w:cs="Arial"/>
        </w:rPr>
        <w:t>C</w:t>
      </w:r>
      <w:r w:rsidR="00C62525">
        <w:rPr>
          <w:rFonts w:cs="Arial"/>
        </w:rPr>
        <w:t>ouncil</w:t>
      </w:r>
      <w:r w:rsidRPr="00F91FD1">
        <w:rPr>
          <w:rFonts w:cs="Arial"/>
        </w:rPr>
        <w:t xml:space="preserve"> has implemented </w:t>
      </w:r>
      <w:bookmarkStart w:id="12" w:name="_Int_D77W0dtE"/>
      <w:r w:rsidRPr="00F91FD1">
        <w:rPr>
          <w:rFonts w:cs="Arial"/>
        </w:rPr>
        <w:t>a number of</w:t>
      </w:r>
      <w:bookmarkEnd w:id="12"/>
      <w:r w:rsidRPr="00F91FD1">
        <w:rPr>
          <w:rFonts w:cs="Arial"/>
        </w:rPr>
        <w:t xml:space="preserve"> initiatives to identify and remedy damp and mould issues being reported by tenants. Property Services have recruited a damp &amp; mould specialist surveyor and have a Damp and Mould working group from across the Council to ensure continued focus and solutioning of this problem. This has included various programmes via ODS and </w:t>
      </w:r>
      <w:r w:rsidRPr="00F91FD1">
        <w:rPr>
          <w:rFonts w:cs="Arial"/>
        </w:rPr>
        <w:lastRenderedPageBreak/>
        <w:t xml:space="preserve">specialist contractors for the installation of additional ventilation systems and other similar initiatives. </w:t>
      </w:r>
    </w:p>
    <w:p w14:paraId="0B9E55F7" w14:textId="18F28B8E" w:rsidR="00E87F7A" w:rsidRPr="001356F1" w:rsidRDefault="00F91FD1" w:rsidP="00E87F7A">
      <w:pPr>
        <w:pStyle w:val="Heading1"/>
      </w:pPr>
      <w:r>
        <w:t>Summary</w:t>
      </w:r>
    </w:p>
    <w:p w14:paraId="5D2D8FB1" w14:textId="713AE654" w:rsidR="00F91FD1" w:rsidRPr="00F91FD1" w:rsidRDefault="00F91FD1" w:rsidP="00244485">
      <w:pPr>
        <w:pStyle w:val="ListParagraph"/>
        <w:ind w:left="360" w:hanging="360"/>
        <w:jc w:val="both"/>
        <w:rPr>
          <w:rFonts w:cs="Arial"/>
        </w:rPr>
      </w:pPr>
      <w:r w:rsidRPr="00F91FD1">
        <w:rPr>
          <w:rFonts w:cs="Arial"/>
        </w:rPr>
        <w:t>Whilst there are obvious areas of improvement required and further investment into our properties is needed due to the changing regulations and present challenges, the Council’s Building Safety &amp; Compliance is in a positive place. Property Services continues to develop programmes of work and projects to address any compliance needs.</w:t>
      </w:r>
    </w:p>
    <w:p w14:paraId="4E7C629D"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E00E5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4DFF2EF"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E7782C1" w14:textId="08F190E1" w:rsidR="00E87F7A" w:rsidRPr="001356F1" w:rsidRDefault="00F91FD1" w:rsidP="00A46E98">
            <w:r>
              <w:t>Steve Stansfield</w:t>
            </w:r>
          </w:p>
        </w:tc>
      </w:tr>
      <w:tr w:rsidR="00DF093E" w:rsidRPr="001356F1" w14:paraId="05254C1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392EC8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689F267" w14:textId="1E06FE5E" w:rsidR="00E87F7A" w:rsidRPr="001356F1" w:rsidRDefault="00751DC1" w:rsidP="00A46E98">
            <w:r>
              <w:t>Building Compliance &amp; Safety Manager</w:t>
            </w:r>
          </w:p>
        </w:tc>
      </w:tr>
      <w:tr w:rsidR="00DF093E" w:rsidRPr="001356F1" w14:paraId="1B047F03" w14:textId="77777777" w:rsidTr="00A46E98">
        <w:trPr>
          <w:cantSplit/>
          <w:trHeight w:val="396"/>
        </w:trPr>
        <w:tc>
          <w:tcPr>
            <w:tcW w:w="3969" w:type="dxa"/>
            <w:tcBorders>
              <w:top w:val="nil"/>
              <w:left w:val="single" w:sz="8" w:space="0" w:color="000000"/>
              <w:bottom w:val="nil"/>
              <w:right w:val="nil"/>
            </w:tcBorders>
            <w:shd w:val="clear" w:color="auto" w:fill="auto"/>
          </w:tcPr>
          <w:p w14:paraId="02E3B1D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42A6F80" w14:textId="629A6D50" w:rsidR="00E87F7A" w:rsidRPr="001356F1" w:rsidRDefault="00751DC1" w:rsidP="00A46E98">
            <w:r>
              <w:t>Corporate Property Services</w:t>
            </w:r>
          </w:p>
        </w:tc>
      </w:tr>
      <w:tr w:rsidR="00DF093E" w:rsidRPr="001356F1" w14:paraId="01AA1941" w14:textId="77777777" w:rsidTr="00A46E98">
        <w:trPr>
          <w:cantSplit/>
          <w:trHeight w:val="396"/>
        </w:trPr>
        <w:tc>
          <w:tcPr>
            <w:tcW w:w="3969" w:type="dxa"/>
            <w:tcBorders>
              <w:top w:val="nil"/>
              <w:left w:val="single" w:sz="8" w:space="0" w:color="000000"/>
              <w:bottom w:val="nil"/>
              <w:right w:val="nil"/>
            </w:tcBorders>
            <w:shd w:val="clear" w:color="auto" w:fill="auto"/>
          </w:tcPr>
          <w:p w14:paraId="168943B9"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AF7DB70" w14:textId="1B24F8CE" w:rsidR="00E87F7A" w:rsidRPr="001356F1" w:rsidRDefault="00E87F7A" w:rsidP="00A46E98">
            <w:r w:rsidRPr="001356F1">
              <w:t xml:space="preserve">01865 </w:t>
            </w:r>
            <w:r w:rsidR="00751DC1">
              <w:t>252781</w:t>
            </w:r>
          </w:p>
        </w:tc>
      </w:tr>
      <w:tr w:rsidR="005570B5" w:rsidRPr="001356F1" w14:paraId="4EE1352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597839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0A1164C" w14:textId="3E844865" w:rsidR="00E87F7A" w:rsidRPr="001356F1" w:rsidRDefault="00C62525" w:rsidP="00A46E98">
            <w:pPr>
              <w:rPr>
                <w:rStyle w:val="Hyperlink"/>
                <w:color w:val="000000"/>
              </w:rPr>
            </w:pPr>
            <w:hyperlink r:id="rId11" w:history="1">
              <w:r w:rsidR="00751DC1" w:rsidRPr="00526282">
                <w:rPr>
                  <w:rStyle w:val="Hyperlink"/>
                </w:rPr>
                <w:t>sstansfield@oxford.gov.uk</w:t>
              </w:r>
            </w:hyperlink>
            <w:r w:rsidR="00751DC1">
              <w:rPr>
                <w:rStyle w:val="Hyperlink"/>
                <w:color w:val="000000"/>
              </w:rPr>
              <w:t xml:space="preserve"> </w:t>
            </w:r>
          </w:p>
        </w:tc>
      </w:tr>
    </w:tbl>
    <w:p w14:paraId="30C1075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5C3EBD1"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8426259"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1CB2638"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E366" w14:textId="77777777" w:rsidR="00FA026E" w:rsidRDefault="00FA026E" w:rsidP="004A6D2F">
      <w:r>
        <w:separator/>
      </w:r>
    </w:p>
  </w:endnote>
  <w:endnote w:type="continuationSeparator" w:id="0">
    <w:p w14:paraId="457E524D"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9DCB" w14:textId="77777777" w:rsidR="00364FAD" w:rsidRDefault="00364FAD" w:rsidP="004A6D2F">
    <w:pPr>
      <w:pStyle w:val="Footer"/>
    </w:pPr>
    <w:r>
      <w:t>Do not use a footer or page numbers.</w:t>
    </w:r>
  </w:p>
  <w:p w14:paraId="315F4286" w14:textId="77777777" w:rsidR="00364FAD" w:rsidRDefault="00364FAD" w:rsidP="004A6D2F">
    <w:pPr>
      <w:pStyle w:val="Footer"/>
    </w:pPr>
  </w:p>
  <w:p w14:paraId="2E87D6F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CA17"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E513" w14:textId="77777777" w:rsidR="00FA026E" w:rsidRDefault="00FA026E" w:rsidP="004A6D2F">
      <w:r>
        <w:separator/>
      </w:r>
    </w:p>
  </w:footnote>
  <w:footnote w:type="continuationSeparator" w:id="0">
    <w:p w14:paraId="6D8FE5D9"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83E2" w14:textId="77777777" w:rsidR="00D5547E" w:rsidRDefault="00DD2FED" w:rsidP="00D5547E">
    <w:pPr>
      <w:pStyle w:val="Header"/>
      <w:jc w:val="right"/>
    </w:pPr>
    <w:r>
      <w:rPr>
        <w:noProof/>
      </w:rPr>
      <w:drawing>
        <wp:inline distT="0" distB="0" distL="0" distR="0" wp14:anchorId="159BDBB8" wp14:editId="1748DA1E">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2934B8"/>
    <w:multiLevelType w:val="hybridMultilevel"/>
    <w:tmpl w:val="70C015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2043432945">
    <w:abstractNumId w:val="26"/>
  </w:num>
  <w:num w:numId="2" w16cid:durableId="188028067">
    <w:abstractNumId w:val="31"/>
  </w:num>
  <w:num w:numId="3" w16cid:durableId="840317432">
    <w:abstractNumId w:val="23"/>
  </w:num>
  <w:num w:numId="4" w16cid:durableId="1936397928">
    <w:abstractNumId w:val="19"/>
  </w:num>
  <w:num w:numId="5" w16cid:durableId="348991660">
    <w:abstractNumId w:val="28"/>
  </w:num>
  <w:num w:numId="6" w16cid:durableId="585650231">
    <w:abstractNumId w:val="32"/>
  </w:num>
  <w:num w:numId="7" w16cid:durableId="399712180">
    <w:abstractNumId w:val="22"/>
  </w:num>
  <w:num w:numId="8" w16cid:durableId="1282882957">
    <w:abstractNumId w:val="20"/>
  </w:num>
  <w:num w:numId="9" w16cid:durableId="1646936454">
    <w:abstractNumId w:val="14"/>
  </w:num>
  <w:num w:numId="10" w16cid:durableId="159857437">
    <w:abstractNumId w:val="16"/>
  </w:num>
  <w:num w:numId="11" w16cid:durableId="1530995294">
    <w:abstractNumId w:val="25"/>
  </w:num>
  <w:num w:numId="12" w16cid:durableId="1217425527">
    <w:abstractNumId w:val="24"/>
  </w:num>
  <w:num w:numId="13" w16cid:durableId="277227735">
    <w:abstractNumId w:val="10"/>
  </w:num>
  <w:num w:numId="14" w16cid:durableId="292759845">
    <w:abstractNumId w:val="33"/>
    <w:lvlOverride w:ilvl="0">
      <w:lvl w:ilvl="0">
        <w:start w:val="1"/>
        <w:numFmt w:val="decimal"/>
        <w:pStyle w:val="ListParagraph"/>
        <w:lvlText w:val="%1."/>
        <w:lvlJc w:val="left"/>
        <w:pPr>
          <w:ind w:left="360" w:hanging="360"/>
        </w:pPr>
        <w:rPr>
          <w:rFonts w:ascii="Arial" w:hAnsi="Arial"/>
          <w:color w:val="000000"/>
          <w:sz w:val="24"/>
        </w:rPr>
      </w:lvl>
    </w:lvlOverride>
  </w:num>
  <w:num w:numId="15" w16cid:durableId="1889221161">
    <w:abstractNumId w:val="17"/>
  </w:num>
  <w:num w:numId="16" w16cid:durableId="2033994004">
    <w:abstractNumId w:val="11"/>
  </w:num>
  <w:num w:numId="17" w16cid:durableId="1954048838">
    <w:abstractNumId w:val="27"/>
  </w:num>
  <w:num w:numId="18" w16cid:durableId="88815790">
    <w:abstractNumId w:val="12"/>
  </w:num>
  <w:num w:numId="19" w16cid:durableId="1499031918">
    <w:abstractNumId w:val="29"/>
  </w:num>
  <w:num w:numId="20" w16cid:durableId="580796825">
    <w:abstractNumId w:val="18"/>
  </w:num>
  <w:num w:numId="21" w16cid:durableId="46924023">
    <w:abstractNumId w:val="21"/>
  </w:num>
  <w:num w:numId="22" w16cid:durableId="1122916419">
    <w:abstractNumId w:val="15"/>
  </w:num>
  <w:num w:numId="23" w16cid:durableId="418214464">
    <w:abstractNumId w:val="30"/>
  </w:num>
  <w:num w:numId="24" w16cid:durableId="651954880">
    <w:abstractNumId w:val="9"/>
  </w:num>
  <w:num w:numId="25" w16cid:durableId="1837068696">
    <w:abstractNumId w:val="8"/>
  </w:num>
  <w:num w:numId="26" w16cid:durableId="1206796554">
    <w:abstractNumId w:val="7"/>
  </w:num>
  <w:num w:numId="27" w16cid:durableId="692265944">
    <w:abstractNumId w:val="6"/>
  </w:num>
  <w:num w:numId="28" w16cid:durableId="1438869873">
    <w:abstractNumId w:val="5"/>
  </w:num>
  <w:num w:numId="29" w16cid:durableId="1286157905">
    <w:abstractNumId w:val="4"/>
  </w:num>
  <w:num w:numId="30" w16cid:durableId="2026249294">
    <w:abstractNumId w:val="3"/>
  </w:num>
  <w:num w:numId="31" w16cid:durableId="790710358">
    <w:abstractNumId w:val="2"/>
  </w:num>
  <w:num w:numId="32" w16cid:durableId="544295547">
    <w:abstractNumId w:val="1"/>
  </w:num>
  <w:num w:numId="33" w16cid:durableId="676536773">
    <w:abstractNumId w:val="0"/>
  </w:num>
  <w:num w:numId="34" w16cid:durableId="153808486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4485"/>
    <w:rsid w:val="00247C29"/>
    <w:rsid w:val="00247C62"/>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872"/>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51DC1"/>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2525"/>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1FD1"/>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A0D43"/>
  <w15:docId w15:val="{DD28C8D2-A527-42F5-BDA2-EEFE9374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paragraph">
    <w:name w:val="paragraph"/>
    <w:basedOn w:val="Normal"/>
    <w:rsid w:val="00F91FD1"/>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F91FD1"/>
  </w:style>
  <w:style w:type="character" w:customStyle="1" w:styleId="eop">
    <w:name w:val="eop"/>
    <w:basedOn w:val="DefaultParagraphFont"/>
    <w:rsid w:val="00F91FD1"/>
  </w:style>
  <w:style w:type="character" w:styleId="UnresolvedMention">
    <w:name w:val="Unresolved Mention"/>
    <w:basedOn w:val="DefaultParagraphFont"/>
    <w:uiPriority w:val="99"/>
    <w:semiHidden/>
    <w:unhideWhenUsed/>
    <w:rsid w:val="0075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tansfiel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5</cp:revision>
  <cp:lastPrinted>2015-07-03T12:50:00Z</cp:lastPrinted>
  <dcterms:created xsi:type="dcterms:W3CDTF">2019-10-22T08:34:00Z</dcterms:created>
  <dcterms:modified xsi:type="dcterms:W3CDTF">2023-11-27T10:55:00Z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